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463D59" w:rsidRPr="00463D5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463D59" w:rsidRDefault="00F92268" w:rsidP="000025F0">
            <w:pPr>
              <w:pStyle w:val="Header"/>
              <w:rPr>
                <w:rFonts w:cs="Arial"/>
                <w:sz w:val="16"/>
                <w:szCs w:val="16"/>
              </w:rPr>
            </w:pPr>
            <w:r w:rsidRPr="00463D59">
              <w:rPr>
                <w:rFonts w:cs="Arial"/>
                <w:sz w:val="16"/>
                <w:szCs w:val="16"/>
              </w:rPr>
              <w:t>Reference number(s)</w:t>
            </w:r>
          </w:p>
        </w:tc>
      </w:tr>
      <w:tr w:rsidR="00463D59" w:rsidRPr="00463D5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9DE1FB1" w:rsidR="00F92268" w:rsidRPr="00463D59" w:rsidRDefault="008A5900" w:rsidP="000025F0">
            <w:pPr>
              <w:pStyle w:val="Header"/>
              <w:rPr>
                <w:rFonts w:cs="Arial"/>
                <w:sz w:val="16"/>
                <w:szCs w:val="16"/>
              </w:rPr>
            </w:pPr>
            <w:r w:rsidRPr="00463D59">
              <w:rPr>
                <w:sz w:val="16"/>
                <w:szCs w:val="16"/>
                <w:shd w:val="clear" w:color="auto" w:fill="FFFFFF"/>
              </w:rPr>
              <w:t>1810-A</w:t>
            </w:r>
          </w:p>
        </w:tc>
      </w:tr>
    </w:tbl>
    <w:p w14:paraId="74FBA5B4" w14:textId="77777777" w:rsidR="00051356" w:rsidRDefault="00051356" w:rsidP="00A672B3">
      <w:pPr>
        <w:pStyle w:val="BodyText"/>
        <w:rPr>
          <w:b/>
          <w:bCs/>
          <w:sz w:val="16"/>
          <w:szCs w:val="16"/>
        </w:rPr>
        <w:sectPr w:rsidR="00051356" w:rsidSect="00CD5A5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633BB946" w:rsidR="004B15BB" w:rsidRPr="00BD1CC1" w:rsidRDefault="000F7193" w:rsidP="00B13DC4">
      <w:pPr>
        <w:pStyle w:val="Heading1"/>
      </w:pPr>
      <w:r>
        <w:t xml:space="preserve">Specialty Guideline </w:t>
      </w:r>
      <w:r w:rsidR="00E55D31">
        <w:t>Management</w:t>
      </w:r>
      <w:r w:rsidR="00233565">
        <w:br/>
      </w:r>
      <w:r w:rsidR="00E55D31">
        <w:t>Lynparza</w:t>
      </w:r>
    </w:p>
    <w:p w14:paraId="78861C92" w14:textId="682D4A5C" w:rsidR="00203468" w:rsidRPr="00BD1CC1" w:rsidRDefault="00C64534" w:rsidP="008E0F0D">
      <w:pPr>
        <w:pStyle w:val="Heading2"/>
      </w:pPr>
      <w:r w:rsidRPr="00BD1CC1">
        <w:t xml:space="preserve">Products Referenced by this </w:t>
      </w:r>
      <w:r w:rsidR="00501602" w:rsidRPr="00BD1CC1">
        <w:t>Document</w:t>
      </w:r>
    </w:p>
    <w:p w14:paraId="5455152B" w14:textId="35786CF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536E2" w:rsidRPr="00BD1CC1">
        <w:t>O</w:t>
      </w:r>
      <w:r w:rsidR="00A536E2">
        <w:t>ver</w:t>
      </w:r>
      <w:r w:rsidR="00917EE9">
        <w:t>-</w:t>
      </w:r>
      <w:r w:rsidR="00A536E2">
        <w:t>the</w:t>
      </w:r>
      <w:r w:rsidR="00917EE9">
        <w:t>-</w:t>
      </w:r>
      <w:r w:rsidR="00A536E2">
        <w:t>counter</w:t>
      </w:r>
      <w:r w:rsidR="00A536E2" w:rsidRPr="00BD1CC1">
        <w:t xml:space="preserve"> </w:t>
      </w:r>
      <w:r w:rsidR="00A536E2">
        <w:t>(</w:t>
      </w:r>
      <w:r w:rsidRPr="00BD1CC1">
        <w:t>OTC</w:t>
      </w:r>
      <w:r w:rsidR="00A536E2">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32E925B" w:rsidR="00585FFF" w:rsidRPr="00BD1CC1" w:rsidRDefault="00281526" w:rsidP="00E82ABA">
            <w:pPr>
              <w:pStyle w:val="TableDataUnpadded"/>
            </w:pPr>
            <w:r>
              <w:t>Lynparza</w:t>
            </w:r>
          </w:p>
        </w:tc>
        <w:tc>
          <w:tcPr>
            <w:tcW w:w="5595" w:type="dxa"/>
          </w:tcPr>
          <w:p w14:paraId="7E26A004" w14:textId="4EF3D499" w:rsidR="00585FFF" w:rsidRPr="00BD1CC1" w:rsidRDefault="00520C33" w:rsidP="00E82ABA">
            <w:pPr>
              <w:pStyle w:val="TableDataUnpadded"/>
            </w:pPr>
            <w:proofErr w:type="spellStart"/>
            <w:r>
              <w:t>o</w:t>
            </w:r>
            <w:r w:rsidR="00661618">
              <w:t>l</w:t>
            </w:r>
            <w:r>
              <w:t>aparib</w:t>
            </w:r>
            <w:proofErr w:type="spellEnd"/>
          </w:p>
        </w:tc>
      </w:tr>
    </w:tbl>
    <w:bookmarkEnd w:id="0"/>
    <w:p w14:paraId="14CE6108" w14:textId="42322497" w:rsidR="00FC1AAD" w:rsidRPr="00917EE9" w:rsidRDefault="00ED052F" w:rsidP="00ED052F">
      <w:pPr>
        <w:pStyle w:val="Heading2"/>
      </w:pPr>
      <w:r>
        <w:t>Indications</w:t>
      </w:r>
    </w:p>
    <w:p w14:paraId="2B8CDD95" w14:textId="7B2FBEFB" w:rsidR="00E2637C" w:rsidRPr="00E2637C" w:rsidRDefault="00E2637C" w:rsidP="00E2637C">
      <w:pPr>
        <w:pStyle w:val="BodyText"/>
      </w:pPr>
      <w:r w:rsidRPr="00E2637C">
        <w:rPr>
          <w:rStyle w:val="normaltextrun"/>
        </w:rPr>
        <w:t>The indications below including FDA-approved indications and compendial uses are considered a covered benefit provided that all the approval criteria are met and the member has no exclusions to the prescribed therapy.</w:t>
      </w:r>
    </w:p>
    <w:p w14:paraId="134B5687" w14:textId="4DA4CA3D" w:rsidR="00ED052F" w:rsidRPr="00BD1CC1" w:rsidRDefault="00ED052F" w:rsidP="00ED052F">
      <w:pPr>
        <w:pStyle w:val="Heading3"/>
        <w:keepNext w:val="0"/>
      </w:pPr>
      <w:r w:rsidRPr="00BD1CC1">
        <w:t>FDA-approved Indications</w:t>
      </w:r>
      <w:r w:rsidR="00DA28F5" w:rsidRPr="00DA28F5">
        <w:rPr>
          <w:vertAlign w:val="superscript"/>
        </w:rPr>
        <w:t>1</w:t>
      </w:r>
    </w:p>
    <w:p w14:paraId="7B087417" w14:textId="16844687" w:rsidR="00092B9F" w:rsidRPr="00092B9F" w:rsidRDefault="00092B9F" w:rsidP="00846F64">
      <w:pPr>
        <w:pStyle w:val="Heading4"/>
      </w:pPr>
      <w:r w:rsidRPr="00092B9F">
        <w:t>Ovarian Cancer</w:t>
      </w:r>
    </w:p>
    <w:p w14:paraId="3E191860" w14:textId="77777777" w:rsidR="00F23E83" w:rsidRPr="00F23E83" w:rsidRDefault="00F23E83" w:rsidP="00C75704">
      <w:pPr>
        <w:pStyle w:val="ListParagraph"/>
      </w:pPr>
      <w:r w:rsidRPr="00F23E83">
        <w:t>First-Line Maintenance Treatment of BRCA-mutated Advanced Ovarian Cancer</w:t>
      </w:r>
    </w:p>
    <w:p w14:paraId="63C8DFA8" w14:textId="2B909320" w:rsidR="00F23E83" w:rsidRPr="00F23E83" w:rsidRDefault="00F23E83" w:rsidP="00C75704">
      <w:pPr>
        <w:pStyle w:val="ListParagraph"/>
        <w:numPr>
          <w:ilvl w:val="0"/>
          <w:numId w:val="0"/>
        </w:numPr>
        <w:ind w:left="720"/>
      </w:pPr>
      <w:r w:rsidRPr="00F23E83">
        <w:t>Lynparza is indicated for the maintenance treatment of adult patients with deleterious or suspected deleterious germline or somatic BRCA-mutated (gBRCAm or sBRCAm) advanced epithelial ovarian, fallopian tube or primary peritoneal cancer who are in complete or partial response to first-line platinum-based chemotherapy. Select patients for therapy based on an FDA-approved companion diagnostic for Lynparza.</w:t>
      </w:r>
    </w:p>
    <w:p w14:paraId="27869048" w14:textId="77777777" w:rsidR="00F23E83" w:rsidRPr="00F23E83" w:rsidRDefault="00F23E83" w:rsidP="00C75704">
      <w:pPr>
        <w:pStyle w:val="ListParagraph"/>
      </w:pPr>
      <w:r w:rsidRPr="00F23E83">
        <w:t>Maintenance Treatment of BRCA-mutated Recurrent Ovarian Cancer</w:t>
      </w:r>
    </w:p>
    <w:p w14:paraId="7059F232" w14:textId="77777777" w:rsidR="00F23E83" w:rsidRPr="00F23E83" w:rsidRDefault="00F23E83" w:rsidP="00C75704">
      <w:pPr>
        <w:pStyle w:val="ListParagraph"/>
        <w:numPr>
          <w:ilvl w:val="0"/>
          <w:numId w:val="0"/>
        </w:numPr>
        <w:ind w:left="720"/>
      </w:pPr>
      <w:r w:rsidRPr="00F23E83">
        <w:t>Lynparza is indicated for the maintenance treatment of adult patients with deleterious or suspected deleterious germline or somatic BRCA-mutated recurrent epithelial ovarian, fallopian tube or primary peritoneal cancer, who are in complete or partial response to platinum-based chemotherapy. Select patients for therapy based on an FDA-approved companion diagnostic for Lynparza</w:t>
      </w:r>
    </w:p>
    <w:p w14:paraId="685EE7D4" w14:textId="2BCB2256" w:rsidR="00092B9F" w:rsidRPr="00AB3949" w:rsidRDefault="00092B9F" w:rsidP="00C75704">
      <w:pPr>
        <w:pStyle w:val="ListParagraph"/>
      </w:pPr>
      <w:r w:rsidRPr="00092B9F">
        <w:lastRenderedPageBreak/>
        <w:t>First-Line Maintenance Treatment of HRD-positive Advanced Ovarian Cancer in Combination with Bevacizumab</w:t>
      </w:r>
      <w:r w:rsidR="00A66716">
        <w:br/>
      </w:r>
      <w:r w:rsidRPr="00AB3949">
        <w:t>Lynparza is indicated in combination with bevacizumab for maintenance treatment of adult patients with advanced epithelial ovarian, fallopian tube or primary peritoneal cancer who are in complete or partial response to first-line platinum-based chemotherapy and whose cancer is associated with homologous recombination deficiency (HRD) positive status defined by either</w:t>
      </w:r>
    </w:p>
    <w:p w14:paraId="1BF0A6B5" w14:textId="65EE75DC" w:rsidR="00092B9F" w:rsidRPr="00AB3949" w:rsidRDefault="00092B9F" w:rsidP="00C75704">
      <w:pPr>
        <w:pStyle w:val="ListParagraph"/>
        <w:numPr>
          <w:ilvl w:val="1"/>
          <w:numId w:val="20"/>
        </w:numPr>
      </w:pPr>
      <w:r w:rsidRPr="00AB3949">
        <w:t>A deleterious or suspected deleterious BRCA mutation, and/or</w:t>
      </w:r>
    </w:p>
    <w:p w14:paraId="4612CD78" w14:textId="77777777" w:rsidR="0039287F" w:rsidRDefault="00092B9F" w:rsidP="00C75704">
      <w:pPr>
        <w:pStyle w:val="ListParagraph"/>
        <w:numPr>
          <w:ilvl w:val="1"/>
          <w:numId w:val="20"/>
        </w:numPr>
      </w:pPr>
      <w:r w:rsidRPr="00AB3949">
        <w:t>Genomic instability</w:t>
      </w:r>
    </w:p>
    <w:p w14:paraId="58343106" w14:textId="6D2FDB3B" w:rsidR="00092B9F" w:rsidRPr="0039287F" w:rsidRDefault="00092B9F" w:rsidP="00C75704">
      <w:pPr>
        <w:pStyle w:val="ListParagraph"/>
        <w:numPr>
          <w:ilvl w:val="0"/>
          <w:numId w:val="0"/>
        </w:numPr>
        <w:ind w:left="720"/>
      </w:pPr>
      <w:r w:rsidRPr="00855DEE">
        <w:t>Select patients for therapy based on an FDA-approved companion diagnostic for Lynparza.</w:t>
      </w:r>
    </w:p>
    <w:p w14:paraId="5476EAAC" w14:textId="6B9278C4" w:rsidR="00092B9F" w:rsidRPr="001853DD" w:rsidRDefault="00092B9F" w:rsidP="00A95BF4">
      <w:pPr>
        <w:pStyle w:val="Heading4"/>
        <w:rPr>
          <w:sz w:val="22"/>
          <w:szCs w:val="22"/>
        </w:rPr>
      </w:pPr>
      <w:r w:rsidRPr="00092B9F">
        <w:t>Breast Cancer</w:t>
      </w:r>
    </w:p>
    <w:p w14:paraId="693CF693" w14:textId="0B303B80" w:rsidR="00092B9F" w:rsidRPr="00092B9F" w:rsidRDefault="00092B9F" w:rsidP="00C75704">
      <w:pPr>
        <w:pStyle w:val="ListParagraph"/>
      </w:pPr>
      <w:r w:rsidRPr="00092B9F">
        <w:t>Lynparza is indicated for the adjuvant treatment of adult patients with deleterious or suspected deleterious gBRCAm human epidermal growth factor receptor 2 (HER2)-negative high risk early breast cancer who have been treated with neoadjuvant or adjuvant chemotherapy. Select patients for therapy based on an FDA-approved companion diagnostic for Lynparza.</w:t>
      </w:r>
    </w:p>
    <w:p w14:paraId="56B3395C" w14:textId="19F7D834" w:rsidR="00092B9F" w:rsidRPr="00D92E8A" w:rsidRDefault="00092B9F" w:rsidP="00C75704">
      <w:pPr>
        <w:pStyle w:val="ListParagraph"/>
      </w:pPr>
      <w:r w:rsidRPr="00092B9F">
        <w:t xml:space="preserve">Lynparza is indicated for the treatment of adult patients with deleterious or suspected deleterious </w:t>
      </w:r>
      <w:r w:rsidRPr="006543B6">
        <w:rPr>
          <w:i/>
          <w:iCs/>
        </w:rPr>
        <w:t>gBRCAm</w:t>
      </w:r>
      <w:r w:rsidRPr="00092B9F">
        <w:t>, HER2-negative metastatic breast cancer, who have been treated with chemotherapy in the neoadjuvant, adjuvant, or metastatic setting. Patients with hormone receptor (HR)-positive breast cancer should have been treated with a prior endocrine therapy or be considered inappropriate for endocrine therapy.</w:t>
      </w:r>
      <w:r w:rsidR="00D92E8A">
        <w:t xml:space="preserve"> </w:t>
      </w:r>
      <w:r w:rsidRPr="00092B9F">
        <w:t>Select patients for therapy based on an FDA-approved companion diagnostic for Lynparza.</w:t>
      </w:r>
    </w:p>
    <w:p w14:paraId="34AC5783" w14:textId="0708FDC3" w:rsidR="00092B9F" w:rsidRPr="00092B9F" w:rsidRDefault="00092B9F" w:rsidP="00A95BF4">
      <w:pPr>
        <w:pStyle w:val="Heading4"/>
      </w:pPr>
      <w:r w:rsidRPr="00092B9F">
        <w:t>Pancreatic Adenocarcinoma</w:t>
      </w:r>
    </w:p>
    <w:p w14:paraId="52A6154E" w14:textId="1E10D7A7" w:rsidR="00092B9F" w:rsidRPr="00092B9F" w:rsidRDefault="00092B9F" w:rsidP="00A95BF4">
      <w:pPr>
        <w:pStyle w:val="BodyText"/>
      </w:pPr>
      <w:r w:rsidRPr="00092B9F">
        <w:t xml:space="preserve">Lynparza is indicated for the maintenance treatment of adult patients with deleterious or suspected deleterious </w:t>
      </w:r>
      <w:r w:rsidRPr="00252830">
        <w:t>gBRCAm</w:t>
      </w:r>
      <w:r w:rsidRPr="00092B9F">
        <w:t xml:space="preserve"> metastatic pancreatic adenocarcinoma whose disease has not progressed on at least 16 weeks of a first-line platinum-based chemotherapy regimen. Select patients for therapy based on an FDA-approved companion diagnostic for Lynparza.</w:t>
      </w:r>
    </w:p>
    <w:p w14:paraId="44BD2AE2" w14:textId="5CCB7E48" w:rsidR="00092B9F" w:rsidRPr="00092B9F" w:rsidRDefault="00092B9F" w:rsidP="00A95BF4">
      <w:pPr>
        <w:pStyle w:val="Heading4"/>
      </w:pPr>
      <w:r w:rsidRPr="00092B9F">
        <w:t>Prostate Cancer</w:t>
      </w:r>
    </w:p>
    <w:p w14:paraId="5E4641F7" w14:textId="1FC04D7E" w:rsidR="00092B9F" w:rsidRPr="00092B9F" w:rsidRDefault="00092B9F" w:rsidP="00C75704">
      <w:pPr>
        <w:pStyle w:val="ListParagraph"/>
      </w:pPr>
      <w:r w:rsidRPr="00092B9F">
        <w:t>Lynparza is indicated for the treatment of adult patients with deleterious or suspected deleterious germline or somatic homologous recombination repair (HRR) gene-mutated metastatic castration-resistant prostate cancer (mCRPC) who have progressed following prior treatment with enzalutamide or abiraterone. Select patients for therapy based on an FDA-approved companion diagnostic for Lynparza.</w:t>
      </w:r>
    </w:p>
    <w:p w14:paraId="3058A5F8" w14:textId="64CC5A40" w:rsidR="005C778C" w:rsidRPr="00255903" w:rsidRDefault="00092B9F" w:rsidP="00C75704">
      <w:pPr>
        <w:pStyle w:val="ListParagraph"/>
      </w:pPr>
      <w:r w:rsidRPr="00092B9F">
        <w:t>Lynparza is indicated in combination with abiraterone and prednisone or prednisolone for the treatment of adult patients with deleterious or suspected deleterious BRCA-mutated (BRCAm) metastatic castration-resistant prostate cancer (mCRPC). Select patients for therapy based on an FDA-approved companion diagnostic for Lynparza</w:t>
      </w:r>
    </w:p>
    <w:p w14:paraId="0B5EC236" w14:textId="611E37D9" w:rsidR="0044763A" w:rsidRPr="002B1788" w:rsidRDefault="009F2EF1" w:rsidP="0044763A">
      <w:pPr>
        <w:pStyle w:val="Heading3"/>
      </w:pPr>
      <w:r>
        <w:t>Compendial Uses</w:t>
      </w:r>
      <w:r w:rsidR="00DA28F5" w:rsidRPr="00DA28F5">
        <w:rPr>
          <w:vertAlign w:val="superscript"/>
        </w:rPr>
        <w:t>2</w:t>
      </w:r>
    </w:p>
    <w:p w14:paraId="3AD16506" w14:textId="5F517279" w:rsidR="00AE01EE" w:rsidRPr="00AE01EE" w:rsidRDefault="00AE01EE" w:rsidP="00C75704">
      <w:pPr>
        <w:pStyle w:val="ListParagraph"/>
      </w:pPr>
      <w:r w:rsidRPr="00AE01EE">
        <w:t>Breast cancer</w:t>
      </w:r>
    </w:p>
    <w:p w14:paraId="50BE860B" w14:textId="62D0F261" w:rsidR="00AE01EE" w:rsidRPr="00AE01EE" w:rsidRDefault="00AE01EE" w:rsidP="00C75704">
      <w:pPr>
        <w:pStyle w:val="ListParagraph"/>
      </w:pPr>
      <w:r w:rsidRPr="00AE01EE">
        <w:t>Ovarian cancer, Fallopian tube cancer, Primary peritoneal cancer</w:t>
      </w:r>
    </w:p>
    <w:p w14:paraId="4A457B2B" w14:textId="1446DABC" w:rsidR="00AE01EE" w:rsidRDefault="00AE01EE" w:rsidP="00C75704">
      <w:pPr>
        <w:pStyle w:val="ListParagraph"/>
      </w:pPr>
      <w:r w:rsidRPr="00B75FB2">
        <w:t>Uterine Leiomyosarcoma (</w:t>
      </w:r>
      <w:proofErr w:type="spellStart"/>
      <w:r w:rsidRPr="00B75FB2">
        <w:t>uLMS</w:t>
      </w:r>
      <w:proofErr w:type="spellEnd"/>
      <w:r w:rsidRPr="00B75FB2">
        <w:t>)</w:t>
      </w:r>
    </w:p>
    <w:p w14:paraId="1DCD782B" w14:textId="31E2444C" w:rsidR="00E52827" w:rsidRDefault="00E52827" w:rsidP="00C75704">
      <w:pPr>
        <w:pStyle w:val="ListParagraph"/>
      </w:pPr>
      <w:r>
        <w:t>Prostate cancer</w:t>
      </w:r>
    </w:p>
    <w:p w14:paraId="66930074" w14:textId="6B362C64" w:rsidR="00AE01EE" w:rsidRPr="007D4478" w:rsidRDefault="00AE01EE" w:rsidP="00AE01EE">
      <w:pPr>
        <w:pStyle w:val="BodyText"/>
        <w:rPr>
          <w:rFonts w:cs="Segoe UI"/>
        </w:rPr>
      </w:pPr>
      <w:r w:rsidRPr="00AE01EE">
        <w:t>All other indications are considered experimental/investigational and not medically necessary.</w:t>
      </w:r>
    </w:p>
    <w:p w14:paraId="36381B6D" w14:textId="15FF9F81" w:rsidR="000D2496" w:rsidRPr="007D4478" w:rsidRDefault="000D2496" w:rsidP="000D2496">
      <w:pPr>
        <w:pStyle w:val="Heading2"/>
        <w:rPr>
          <w:rFonts w:eastAsia="Arial"/>
        </w:rPr>
      </w:pPr>
      <w:r w:rsidRPr="00BD1CC1">
        <w:t>Documentation</w:t>
      </w:r>
    </w:p>
    <w:p w14:paraId="0C8C5CEC" w14:textId="1851F9A8" w:rsidR="004E20E1" w:rsidRPr="004E20E1" w:rsidRDefault="004E20E1" w:rsidP="004E20E1">
      <w:pPr>
        <w:pStyle w:val="BodyText"/>
      </w:pPr>
      <w:r w:rsidRPr="004E20E1">
        <w:t>Submission of the following information is necessary to initiate the prior authorization review:</w:t>
      </w:r>
    </w:p>
    <w:p w14:paraId="7FD58380" w14:textId="1BE3694A" w:rsidR="004E20E1" w:rsidRPr="004E20E1" w:rsidRDefault="004E20E1" w:rsidP="00C75704">
      <w:pPr>
        <w:pStyle w:val="ListParagraph"/>
      </w:pPr>
      <w:r w:rsidRPr="004E20E1">
        <w:t>Documentation of laboratory report confirming BRCA mutation status, where applicable.</w:t>
      </w:r>
    </w:p>
    <w:p w14:paraId="3D22C76D" w14:textId="7E4B0BC1" w:rsidR="004E20E1" w:rsidRPr="004E20E1" w:rsidRDefault="004E20E1" w:rsidP="00C75704">
      <w:pPr>
        <w:pStyle w:val="ListParagraph"/>
      </w:pPr>
      <w:r w:rsidRPr="004E20E1">
        <w:t>Documentation of laboratory report confirming germline or somatic HRR gene mutation, where applicable.</w:t>
      </w:r>
    </w:p>
    <w:p w14:paraId="2E003E56" w14:textId="4CE8E325" w:rsidR="004E20E1" w:rsidRDefault="004E20E1" w:rsidP="00C75704">
      <w:pPr>
        <w:pStyle w:val="ListParagraph"/>
      </w:pPr>
      <w:r w:rsidRPr="004E20E1">
        <w:t>Documentation of hormone receptor (HR) and human epidermal growth factor receptor 2 (HER2) status, where applicable.</w:t>
      </w:r>
    </w:p>
    <w:p w14:paraId="1BD0A72B" w14:textId="0DB976E5" w:rsidR="005E1B3B" w:rsidRPr="004E20E1" w:rsidRDefault="005E1B3B" w:rsidP="005E1B3B">
      <w:pPr>
        <w:pStyle w:val="ListParagraph"/>
      </w:pPr>
      <w:r w:rsidRPr="004E20E1">
        <w:t xml:space="preserve">Documentation of </w:t>
      </w:r>
      <w:r w:rsidR="000B6FDB" w:rsidRPr="00AB3949">
        <w:t xml:space="preserve">homologous recombination deficiency (HRD) </w:t>
      </w:r>
      <w:r w:rsidRPr="004E20E1">
        <w:t>status, where applicable.</w:t>
      </w:r>
    </w:p>
    <w:p w14:paraId="50A38FBA" w14:textId="6377997A" w:rsidR="00FE0C63" w:rsidRPr="00434687" w:rsidRDefault="00685107" w:rsidP="00E050E1">
      <w:pPr>
        <w:pStyle w:val="Heading2"/>
      </w:pPr>
      <w:r>
        <w:t>Coverage Criteria</w:t>
      </w:r>
    </w:p>
    <w:p w14:paraId="2ECA5C7C" w14:textId="7D420F12" w:rsidR="009626E3" w:rsidRPr="009626E3" w:rsidRDefault="009626E3" w:rsidP="009626E3">
      <w:pPr>
        <w:pStyle w:val="Heading3"/>
      </w:pPr>
      <w:r w:rsidRPr="009626E3">
        <w:t>Epithelial Ovarian, Fallopian Tube, or Primary Peritoneal Cancer</w:t>
      </w:r>
      <w:r w:rsidR="008F2D09" w:rsidRPr="00C75704">
        <w:rPr>
          <w:vertAlign w:val="superscript"/>
        </w:rPr>
        <w:t>1,2</w:t>
      </w:r>
    </w:p>
    <w:p w14:paraId="244ABABE" w14:textId="7E47BC1A" w:rsidR="009626E3" w:rsidRPr="00434687" w:rsidRDefault="009626E3" w:rsidP="009626E3">
      <w:pPr>
        <w:pStyle w:val="BodyText"/>
        <w:rPr>
          <w:rFonts w:cs="Segoe UI"/>
        </w:rPr>
      </w:pPr>
      <w:r w:rsidRPr="009626E3">
        <w:t>Authorization of 12 months may be granted for the maintenance treatment of epithelial ovarian, fallopian tube, or primary peritoneal cancer that is in a complete or partial response to chemotherapy when any of the following criteria are met:</w:t>
      </w:r>
    </w:p>
    <w:p w14:paraId="61EADF9E" w14:textId="525FFA0B" w:rsidR="009626E3" w:rsidRPr="009626E3" w:rsidRDefault="009626E3" w:rsidP="00C75704">
      <w:pPr>
        <w:pStyle w:val="ListParagraph"/>
      </w:pPr>
      <w:r w:rsidRPr="009626E3">
        <w:t>Member has completed two or more lines of platinum-based therapy for recurrent disease</w:t>
      </w:r>
      <w:r w:rsidR="00A15095">
        <w:t xml:space="preserve">, </w:t>
      </w:r>
      <w:r w:rsidR="00A15095" w:rsidRPr="009626E3">
        <w:t>has a deleterious or suspected deleterious germline or somatic BRCA mutation</w:t>
      </w:r>
      <w:r w:rsidRPr="009626E3">
        <w:t xml:space="preserve"> and will be using the requested medication as a single agent</w:t>
      </w:r>
    </w:p>
    <w:p w14:paraId="0A918D03" w14:textId="30D272AC" w:rsidR="009626E3" w:rsidRPr="009626E3" w:rsidRDefault="009626E3" w:rsidP="00C75704">
      <w:pPr>
        <w:pStyle w:val="ListParagraph"/>
      </w:pPr>
      <w:r w:rsidRPr="009626E3">
        <w:t>Member has a deleterious or suspected deleterious germline or somatic BRCA mutation and will be using the requested medication as a single agent for advanced (stage II-IV) disease</w:t>
      </w:r>
    </w:p>
    <w:p w14:paraId="367DABA0" w14:textId="58EDD881" w:rsidR="00F36035" w:rsidRPr="00F36035" w:rsidRDefault="009626E3" w:rsidP="00F36035">
      <w:pPr>
        <w:pStyle w:val="ListParagraph"/>
        <w:rPr>
          <w:rFonts w:cs="Segoe UI"/>
        </w:rPr>
      </w:pPr>
      <w:r w:rsidRPr="009626E3">
        <w:t>Member has received primary therapy that includes bevacizumab for advanced (stage II-IV) disease</w:t>
      </w:r>
      <w:r w:rsidR="003A3F64">
        <w:t xml:space="preserve">, </w:t>
      </w:r>
      <w:r w:rsidR="003A3F64" w:rsidRPr="009626E3">
        <w:t>will be using the requested medication</w:t>
      </w:r>
      <w:r w:rsidR="003A3F64">
        <w:t xml:space="preserve"> in combination with bevacizumab</w:t>
      </w:r>
      <w:r w:rsidRPr="009626E3">
        <w:t xml:space="preserve"> and </w:t>
      </w:r>
      <w:r w:rsidR="00F36035">
        <w:t>either of the following criteria are met:</w:t>
      </w:r>
    </w:p>
    <w:p w14:paraId="3DA62742" w14:textId="3797B3E4" w:rsidR="00F36035" w:rsidRPr="00F36035" w:rsidRDefault="00F36035" w:rsidP="00F36035">
      <w:pPr>
        <w:pStyle w:val="ListParagraph"/>
        <w:numPr>
          <w:ilvl w:val="1"/>
          <w:numId w:val="20"/>
        </w:numPr>
        <w:rPr>
          <w:rFonts w:cs="Segoe UI"/>
        </w:rPr>
      </w:pPr>
      <w:r>
        <w:t>Member has homologous recombination deficien</w:t>
      </w:r>
      <w:r w:rsidR="00A15095">
        <w:t>cy (HRD) positive</w:t>
      </w:r>
      <w:r>
        <w:t xml:space="preserve"> disease</w:t>
      </w:r>
      <w:r w:rsidR="003A3F64">
        <w:t>, or</w:t>
      </w:r>
    </w:p>
    <w:p w14:paraId="5E39150A" w14:textId="51DD024D" w:rsidR="00F36035" w:rsidRPr="00F36035" w:rsidRDefault="00F36035" w:rsidP="0026640E">
      <w:pPr>
        <w:pStyle w:val="ListParagraph"/>
        <w:numPr>
          <w:ilvl w:val="1"/>
          <w:numId w:val="20"/>
        </w:numPr>
        <w:rPr>
          <w:rFonts w:cs="Segoe UI"/>
        </w:rPr>
      </w:pPr>
      <w:r w:rsidRPr="009626E3">
        <w:t>Member has a deleterious or suspected deleterious germline or somatic BRCA mutation</w:t>
      </w:r>
    </w:p>
    <w:p w14:paraId="05532E4C" w14:textId="4CC47A23" w:rsidR="009626E3" w:rsidRPr="009626E3" w:rsidRDefault="009626E3" w:rsidP="009626E3">
      <w:pPr>
        <w:pStyle w:val="Heading3"/>
      </w:pPr>
      <w:r w:rsidRPr="009626E3">
        <w:t>Breast Cancer</w:t>
      </w:r>
      <w:bookmarkStart w:id="1" w:name="_Hlk177649379"/>
      <w:r w:rsidR="00A06094" w:rsidRPr="00C75704">
        <w:rPr>
          <w:vertAlign w:val="superscript"/>
        </w:rPr>
        <w:t>1,2</w:t>
      </w:r>
      <w:bookmarkEnd w:id="1"/>
    </w:p>
    <w:p w14:paraId="6323D626" w14:textId="288E78B8" w:rsidR="009626E3" w:rsidRPr="00F566B2" w:rsidRDefault="009626E3" w:rsidP="00C75704">
      <w:pPr>
        <w:pStyle w:val="BodyText"/>
      </w:pPr>
      <w:r w:rsidRPr="00F566B2">
        <w:t>Authorization of 12 months may be granted for the treatment of breast cancer with no response to preoperative systemic therapy, or for recurrent unresectable (local or regional)</w:t>
      </w:r>
      <w:r w:rsidRPr="00F566B2">
        <w:rPr>
          <w:rFonts w:ascii="Arial" w:hAnsi="Arial"/>
        </w:rPr>
        <w:t> </w:t>
      </w:r>
      <w:r w:rsidRPr="00F566B2">
        <w:t xml:space="preserve"> or metastatic breast cancer as a single agent in members with deleterious or suspected deleterious germline BRCA mutations.</w:t>
      </w:r>
    </w:p>
    <w:p w14:paraId="2C0BDDEB" w14:textId="7CB9E2D0" w:rsidR="009626E3" w:rsidRPr="00F566B2" w:rsidRDefault="009626E3" w:rsidP="00C75704">
      <w:pPr>
        <w:pStyle w:val="BodyText"/>
      </w:pPr>
      <w:r w:rsidRPr="00F566B2">
        <w:t>Authorization of 12 months may be granted for use as adjuvant therapy for the treatment of HER2-negative, germline BRCA mutated breast cancer after completion of neoadjuvant/adjuvant chemotherapy in any of the following settings:</w:t>
      </w:r>
    </w:p>
    <w:p w14:paraId="5E4D55B7" w14:textId="023F39B5" w:rsidR="009626E3" w:rsidRPr="00F566B2" w:rsidRDefault="009626E3" w:rsidP="00C75704">
      <w:pPr>
        <w:pStyle w:val="ListParagraph"/>
      </w:pPr>
      <w:r w:rsidRPr="00F566B2">
        <w:t>Hormone receptor-negative breast cancer with any residual disease; OR</w:t>
      </w:r>
    </w:p>
    <w:p w14:paraId="57DE230C" w14:textId="56FD2F1C" w:rsidR="009626E3" w:rsidRPr="00F566B2" w:rsidRDefault="009626E3" w:rsidP="00C75704">
      <w:pPr>
        <w:pStyle w:val="ListParagraph"/>
      </w:pPr>
      <w:r w:rsidRPr="00F566B2">
        <w:t xml:space="preserve">Hormone receptor-negative breast cancer with either tumor size </w:t>
      </w:r>
      <w:r w:rsidR="00E80626" w:rsidRPr="00F566B2">
        <w:t xml:space="preserve">greater than or equal to </w:t>
      </w:r>
      <w:r w:rsidRPr="00F566B2">
        <w:t>2 cm or any involved axillary nodes; OR</w:t>
      </w:r>
    </w:p>
    <w:p w14:paraId="7FF36DD4" w14:textId="4471C602" w:rsidR="009626E3" w:rsidRPr="00F566B2" w:rsidRDefault="009626E3" w:rsidP="00C75704">
      <w:pPr>
        <w:pStyle w:val="ListParagraph"/>
      </w:pPr>
      <w:r w:rsidRPr="00F566B2">
        <w:t xml:space="preserve">Hormone receptor-positive breast cancer with </w:t>
      </w:r>
      <w:r w:rsidR="00EE0A1E" w:rsidRPr="00F566B2">
        <w:t xml:space="preserve">greater than or equal to </w:t>
      </w:r>
      <w:r w:rsidRPr="00F566B2">
        <w:t>4 positive lymph nodes; OR</w:t>
      </w:r>
    </w:p>
    <w:p w14:paraId="38C9627D" w14:textId="58C7F394" w:rsidR="009626E3" w:rsidRPr="00F566B2" w:rsidRDefault="009626E3" w:rsidP="00C75704">
      <w:pPr>
        <w:pStyle w:val="ListParagraph"/>
      </w:pPr>
      <w:r w:rsidRPr="00F566B2">
        <w:t xml:space="preserve">Hormone receptor-positive breast cancer with any residual disease and a CPS+EG (clinical stage, pathologic stage, estrogen receptor status and tumor grade) score </w:t>
      </w:r>
      <w:r w:rsidR="00EE0A1E" w:rsidRPr="00F566B2">
        <w:t xml:space="preserve">greater than or equal to </w:t>
      </w:r>
      <w:r w:rsidRPr="00F566B2">
        <w:t>3 following preoperative therapy</w:t>
      </w:r>
    </w:p>
    <w:p w14:paraId="07F4729D" w14:textId="09D86875" w:rsidR="009626E3" w:rsidRPr="009626E3" w:rsidRDefault="009626E3" w:rsidP="009626E3">
      <w:pPr>
        <w:pStyle w:val="Heading3"/>
      </w:pPr>
      <w:r w:rsidRPr="009626E3">
        <w:t>Pancreatic Adenocarcinoma</w:t>
      </w:r>
      <w:r w:rsidR="00A06094" w:rsidRPr="003A5B40">
        <w:rPr>
          <w:vertAlign w:val="superscript"/>
        </w:rPr>
        <w:t>1,2</w:t>
      </w:r>
    </w:p>
    <w:p w14:paraId="0E26CF42" w14:textId="1D97A26B" w:rsidR="0045595B" w:rsidRPr="009626E3" w:rsidRDefault="009626E3" w:rsidP="0045595B">
      <w:pPr>
        <w:pStyle w:val="BodyText"/>
      </w:pPr>
      <w:r w:rsidRPr="00F566B2">
        <w:t>Authorization of 12 months may be granted for the maintenance treatment of deleterious or suspected deleterious germline BRCA-mutated metastatic pancreatic adenocarcinoma as a single agent, in members whose disease has not progressed on at least 16 weeks of a first-line platinum-based chemotherapy regimen.</w:t>
      </w:r>
    </w:p>
    <w:p w14:paraId="31CE3484" w14:textId="0914660D" w:rsidR="009626E3" w:rsidRPr="009626E3" w:rsidRDefault="009626E3" w:rsidP="009626E3">
      <w:pPr>
        <w:pStyle w:val="Heading3"/>
      </w:pPr>
      <w:r w:rsidRPr="009626E3">
        <w:t>Prostate Cancer</w:t>
      </w:r>
      <w:r w:rsidR="00A06094" w:rsidRPr="003A5B40">
        <w:rPr>
          <w:vertAlign w:val="superscript"/>
        </w:rPr>
        <w:t>1,2</w:t>
      </w:r>
    </w:p>
    <w:p w14:paraId="4EC18485" w14:textId="4E2C155D" w:rsidR="009626E3" w:rsidRPr="00F566B2" w:rsidRDefault="009626E3" w:rsidP="009626E3">
      <w:pPr>
        <w:pStyle w:val="BodyText"/>
        <w:rPr>
          <w:rFonts w:cs="Segoe UI"/>
        </w:rPr>
      </w:pPr>
      <w:r w:rsidRPr="00F566B2">
        <w:t>Authorization of 12 months may be granted for treatment of metastatic castration-resistant prostate cancer (mCRPC) when either of the following criteria are met:</w:t>
      </w:r>
    </w:p>
    <w:p w14:paraId="7105B09D" w14:textId="7B999B8A" w:rsidR="009626E3" w:rsidRPr="00F566B2" w:rsidRDefault="009626E3" w:rsidP="00C75704">
      <w:pPr>
        <w:pStyle w:val="ListParagraph"/>
      </w:pPr>
      <w:r w:rsidRPr="00F566B2">
        <w:t>The requested medication will be used as a single agent (concurrent use with a</w:t>
      </w:r>
      <w:r w:rsidR="008D3528" w:rsidRPr="00F566B2">
        <w:t xml:space="preserve"> luteinizing hormone-releasing hormone (LHRH) agonist (e.g., goserelin, leuprolide) or antagonist (e.g., </w:t>
      </w:r>
      <w:proofErr w:type="spellStart"/>
      <w:r w:rsidR="008D3528" w:rsidRPr="00F566B2">
        <w:t>degarelix</w:t>
      </w:r>
      <w:proofErr w:type="spellEnd"/>
      <w:r w:rsidR="008D3528" w:rsidRPr="00F566B2">
        <w:t xml:space="preserve">, </w:t>
      </w:r>
      <w:proofErr w:type="spellStart"/>
      <w:r w:rsidR="008D3528" w:rsidRPr="00F566B2">
        <w:t>relugolix</w:t>
      </w:r>
      <w:proofErr w:type="spellEnd"/>
      <w:r w:rsidR="008D3528" w:rsidRPr="00F566B2">
        <w:t xml:space="preserve">) </w:t>
      </w:r>
      <w:r w:rsidRPr="00F566B2">
        <w:t>GnRH analog is allowed) and all of the following criteria are met:</w:t>
      </w:r>
    </w:p>
    <w:p w14:paraId="02557020" w14:textId="1FD81449" w:rsidR="009626E3" w:rsidRPr="00F566B2" w:rsidRDefault="009626E3" w:rsidP="00C75704">
      <w:pPr>
        <w:pStyle w:val="ListParagraph"/>
        <w:numPr>
          <w:ilvl w:val="1"/>
          <w:numId w:val="20"/>
        </w:numPr>
      </w:pPr>
      <w:r w:rsidRPr="00F566B2">
        <w:t>Member has deleterious or suspected deleterious germline or somatic homologous recombination repair (HRR) gene mutation, which includes BRCA1, BRCA2, ATM, BARD1, BRIP1, CDK12, CHEK1, CHEK2, FANCL, PALB2, RAD51B, RAD51C, RAD51D, RAD54L</w:t>
      </w:r>
    </w:p>
    <w:p w14:paraId="22BB1D1F" w14:textId="0468F296" w:rsidR="009626E3" w:rsidRPr="00F566B2" w:rsidRDefault="009626E3" w:rsidP="00C75704">
      <w:pPr>
        <w:pStyle w:val="ListParagraph"/>
        <w:numPr>
          <w:ilvl w:val="1"/>
          <w:numId w:val="20"/>
        </w:numPr>
      </w:pPr>
      <w:r w:rsidRPr="00F566B2">
        <w:t>Member has progressed on prior androgen receptor-directed therapy</w:t>
      </w:r>
    </w:p>
    <w:p w14:paraId="7F58E927" w14:textId="2640F180" w:rsidR="009626E3" w:rsidRPr="00F566B2" w:rsidRDefault="009626E3" w:rsidP="00C75704">
      <w:pPr>
        <w:pStyle w:val="ListParagraph"/>
        <w:numPr>
          <w:ilvl w:val="1"/>
          <w:numId w:val="20"/>
        </w:numPr>
      </w:pPr>
      <w:r w:rsidRPr="00F566B2">
        <w:t xml:space="preserve">Member is receiving therapy concurrently with </w:t>
      </w:r>
      <w:r w:rsidR="008D3528" w:rsidRPr="00F566B2">
        <w:t xml:space="preserve">a luteinizing hormone-releasing hormone (LHRH) agonist (e.g., goserelin, leuprolide) or antagonist (e.g., </w:t>
      </w:r>
      <w:proofErr w:type="spellStart"/>
      <w:r w:rsidR="008D3528" w:rsidRPr="00F566B2">
        <w:t>degarelix</w:t>
      </w:r>
      <w:proofErr w:type="spellEnd"/>
      <w:r w:rsidR="008D3528" w:rsidRPr="00F566B2">
        <w:t xml:space="preserve">, </w:t>
      </w:r>
      <w:proofErr w:type="spellStart"/>
      <w:r w:rsidR="008D3528" w:rsidRPr="00F566B2">
        <w:t>relugolix</w:t>
      </w:r>
      <w:proofErr w:type="spellEnd"/>
      <w:r w:rsidR="008D3528" w:rsidRPr="00F566B2">
        <w:t xml:space="preserve">) </w:t>
      </w:r>
      <w:r w:rsidRPr="00F566B2">
        <w:t>a gonadotropin-releasing hormone (GnRH) agonist or degarelix or has had a bilateral orchiectomy</w:t>
      </w:r>
    </w:p>
    <w:p w14:paraId="10F58B89" w14:textId="1B4E9AAC" w:rsidR="009626E3" w:rsidRPr="00F566B2" w:rsidRDefault="009626E3" w:rsidP="00C75704">
      <w:pPr>
        <w:pStyle w:val="ListParagraph"/>
      </w:pPr>
      <w:r w:rsidRPr="00F566B2">
        <w:t>The requested medication will be used in combination with abiraterone or fine-particle abiraterone (</w:t>
      </w:r>
      <w:proofErr w:type="spellStart"/>
      <w:r w:rsidRPr="00F566B2">
        <w:t>Yonsa</w:t>
      </w:r>
      <w:proofErr w:type="spellEnd"/>
      <w:r w:rsidRPr="00F566B2">
        <w:t>) and concurrent steroids (prednisone, prednisolone, or methylprednisolone) and all of the following criteria are met:</w:t>
      </w:r>
    </w:p>
    <w:p w14:paraId="36F6BEBE" w14:textId="31907F98" w:rsidR="009626E3" w:rsidRDefault="009626E3" w:rsidP="002F5775">
      <w:pPr>
        <w:pStyle w:val="ListParagraph"/>
        <w:numPr>
          <w:ilvl w:val="1"/>
          <w:numId w:val="20"/>
        </w:numPr>
      </w:pPr>
      <w:r w:rsidRPr="00F566B2">
        <w:t>Member has deleterious or suspected deleterious BRCA mutation</w:t>
      </w:r>
    </w:p>
    <w:p w14:paraId="7B5F52BB" w14:textId="2050AFBA" w:rsidR="009545AD" w:rsidRPr="00F566B2" w:rsidRDefault="009545AD" w:rsidP="002F5775">
      <w:pPr>
        <w:pStyle w:val="ListParagraph"/>
        <w:numPr>
          <w:ilvl w:val="1"/>
          <w:numId w:val="20"/>
        </w:numPr>
      </w:pPr>
      <w:r>
        <w:t xml:space="preserve">Member has not progressed on prior novel hormone therapy (e.g., abiraterone, enzalutamide, </w:t>
      </w:r>
      <w:proofErr w:type="spellStart"/>
      <w:r>
        <w:t>darolutamide</w:t>
      </w:r>
      <w:proofErr w:type="spellEnd"/>
      <w:r>
        <w:t>, or apalutamide)</w:t>
      </w:r>
    </w:p>
    <w:p w14:paraId="664FE2FF" w14:textId="77A1BD4B" w:rsidR="009626E3" w:rsidRPr="00F566B2" w:rsidRDefault="009626E3" w:rsidP="00C75704">
      <w:pPr>
        <w:pStyle w:val="ListParagraph"/>
        <w:numPr>
          <w:ilvl w:val="1"/>
          <w:numId w:val="20"/>
        </w:numPr>
      </w:pPr>
      <w:r w:rsidRPr="00F566B2">
        <w:t xml:space="preserve">Member is receiving therapy concurrently with </w:t>
      </w:r>
      <w:r w:rsidR="008D3528" w:rsidRPr="00F566B2">
        <w:t xml:space="preserve">a luteinizing hormone-releasing hormone (LHRH) agonist (e.g., goserelin, leuprolide) or antagonist (e.g., </w:t>
      </w:r>
      <w:proofErr w:type="spellStart"/>
      <w:r w:rsidR="008D3528" w:rsidRPr="00F566B2">
        <w:t>degarelix</w:t>
      </w:r>
      <w:proofErr w:type="spellEnd"/>
      <w:r w:rsidR="008D3528" w:rsidRPr="00F566B2">
        <w:t xml:space="preserve">, </w:t>
      </w:r>
      <w:proofErr w:type="spellStart"/>
      <w:r w:rsidR="008D3528" w:rsidRPr="00F566B2">
        <w:t>relugolix</w:t>
      </w:r>
      <w:proofErr w:type="spellEnd"/>
      <w:r w:rsidR="008D3528" w:rsidRPr="00F566B2">
        <w:t xml:space="preserve">) </w:t>
      </w:r>
      <w:r w:rsidRPr="00F566B2">
        <w:t>or has had a bilateral orchiectomy</w:t>
      </w:r>
    </w:p>
    <w:p w14:paraId="21C42F46" w14:textId="7992B175" w:rsidR="009626E3" w:rsidRPr="009626E3" w:rsidRDefault="009626E3" w:rsidP="009626E3">
      <w:pPr>
        <w:pStyle w:val="Heading3"/>
      </w:pPr>
      <w:r w:rsidRPr="009626E3">
        <w:t>Uterine Leiomyosarcoma</w:t>
      </w:r>
      <w:r w:rsidR="00A06094" w:rsidRPr="00C75704">
        <w:rPr>
          <w:vertAlign w:val="superscript"/>
        </w:rPr>
        <w:t>2</w:t>
      </w:r>
    </w:p>
    <w:p w14:paraId="6776AB56" w14:textId="6C186586" w:rsidR="009626E3" w:rsidRPr="005D315B" w:rsidRDefault="009626E3" w:rsidP="009626E3">
      <w:pPr>
        <w:pStyle w:val="BodyText"/>
        <w:rPr>
          <w:rFonts w:cs="Segoe UI"/>
        </w:rPr>
      </w:pPr>
      <w:r w:rsidRPr="00F566B2">
        <w:t>Authorization of 12 months may be granted for treatment of BRCA2-altered uterine leiomyosarcoma (uLMS) as subsequent therapy when used as a single agent for advanced, recurrent, metastatic, or inoperable disease.</w:t>
      </w:r>
    </w:p>
    <w:p w14:paraId="3A643EC3" w14:textId="4FD36698" w:rsidR="00A501AC" w:rsidRPr="00BD1CC1" w:rsidRDefault="00A501AC" w:rsidP="00A501AC">
      <w:pPr>
        <w:pStyle w:val="Heading2"/>
      </w:pPr>
      <w:r w:rsidRPr="00BD1CC1">
        <w:t>Continuation of Therapy</w:t>
      </w:r>
    </w:p>
    <w:p w14:paraId="32C8905D" w14:textId="43DB73DA" w:rsidR="00A501AC" w:rsidRPr="00E3244A" w:rsidRDefault="00EA3E9B" w:rsidP="00E3244A">
      <w:pPr>
        <w:pStyle w:val="BodyText"/>
      </w:pPr>
      <w:r w:rsidRPr="00E3244A">
        <w:rPr>
          <w:rStyle w:val="normaltextrun"/>
        </w:rPr>
        <w:t xml:space="preserve">Authorization of 12 months may be granted for continued treatment in members requesting reauthorization for an indication listed in </w:t>
      </w:r>
      <w:r w:rsidR="00181AA3">
        <w:rPr>
          <w:rStyle w:val="normaltextrun"/>
        </w:rPr>
        <w:t>the coverage criteria section</w:t>
      </w:r>
      <w:r w:rsidRPr="00E3244A">
        <w:rPr>
          <w:rStyle w:val="normaltextrun"/>
        </w:rPr>
        <w:t xml:space="preserve"> when there is no evidence of unacceptable toxicity or disease progression while on the current regimen.</w:t>
      </w:r>
    </w:p>
    <w:p w14:paraId="6FA4DE5C" w14:textId="4CD93778" w:rsidR="0055695D" w:rsidRPr="0055695D" w:rsidRDefault="0055695D" w:rsidP="00C75704">
      <w:pPr>
        <w:pStyle w:val="ListParagraph"/>
      </w:pPr>
      <w:r w:rsidRPr="0055695D">
        <w:t>For the first-line maintenance treatment of BRCA-mutated advanced ovarian cancer in a complete response</w:t>
      </w:r>
      <w:r w:rsidR="008D3528">
        <w:t xml:space="preserve"> </w:t>
      </w:r>
      <w:r w:rsidR="008D3528" w:rsidRPr="00FA2691">
        <w:t>(no radiological evidence of disease),</w:t>
      </w:r>
      <w:r w:rsidRPr="0055695D">
        <w:t xml:space="preserve"> the maximum treatment duration is 2 years.</w:t>
      </w:r>
    </w:p>
    <w:p w14:paraId="22F354CD" w14:textId="4431D740" w:rsidR="0055695D" w:rsidRPr="0055695D" w:rsidRDefault="0055695D" w:rsidP="00C75704">
      <w:pPr>
        <w:pStyle w:val="ListParagraph"/>
      </w:pPr>
      <w:r w:rsidRPr="0055695D">
        <w:t>For the first-line maintenance treatment of advanced ovarian cancer in combination with bevacizumab in a complete response</w:t>
      </w:r>
      <w:r w:rsidR="008D3528">
        <w:t xml:space="preserve"> </w:t>
      </w:r>
      <w:r w:rsidR="008D3528" w:rsidRPr="00FA2691">
        <w:t>(no radiological evidence of disease),</w:t>
      </w:r>
      <w:r w:rsidRPr="0055695D">
        <w:t xml:space="preserve"> the maximum treatment duration is 2 years.</w:t>
      </w:r>
    </w:p>
    <w:p w14:paraId="39DE0018" w14:textId="2628F532" w:rsidR="00A501AC" w:rsidRPr="0055695D" w:rsidRDefault="0055695D" w:rsidP="00C75704">
      <w:pPr>
        <w:pStyle w:val="ListParagraph"/>
      </w:pPr>
      <w:r w:rsidRPr="0055695D">
        <w:t>For use as adjuvant treatment of early-stage, HER2-negative, BRCA-mutated breast cancer with high-risk of recurrence, the maximum treatment duration is 1 year.</w:t>
      </w:r>
    </w:p>
    <w:p w14:paraId="0A275F8B" w14:textId="5457CDFD" w:rsidR="000E0438" w:rsidRPr="00C24A9D" w:rsidRDefault="000E0438" w:rsidP="000E0438">
      <w:pPr>
        <w:pStyle w:val="Heading2"/>
      </w:pPr>
      <w:bookmarkStart w:id="2" w:name="S2.2"/>
      <w:bookmarkStart w:id="3" w:name="section-2.2"/>
      <w:bookmarkStart w:id="4" w:name="section-2.2.1"/>
      <w:bookmarkStart w:id="5" w:name="section-2.2.2"/>
      <w:bookmarkEnd w:id="2"/>
      <w:bookmarkEnd w:id="3"/>
      <w:bookmarkEnd w:id="4"/>
      <w:bookmarkEnd w:id="5"/>
      <w:r w:rsidRPr="008D1B34">
        <w:t>References</w:t>
      </w:r>
    </w:p>
    <w:p w14:paraId="0E14334D" w14:textId="471B983A" w:rsidR="00BD3AB7" w:rsidRPr="00164C12" w:rsidRDefault="00BD3AB7" w:rsidP="00164C12">
      <w:pPr>
        <w:pStyle w:val="ReferenceOrdered"/>
      </w:pPr>
      <w:r w:rsidRPr="00164C12">
        <w:t>Lynparza</w:t>
      </w:r>
      <w:r w:rsidRPr="00C75704">
        <w:t>®</w:t>
      </w:r>
      <w:r w:rsidRPr="00164C12">
        <w:t xml:space="preserve"> Tablets [package insert]. Wilmington, DE: AstraZeneca Pharmaceuticals LP; </w:t>
      </w:r>
      <w:r w:rsidR="0084448D">
        <w:t xml:space="preserve">November </w:t>
      </w:r>
      <w:r w:rsidRPr="00164C12">
        <w:t>2023.</w:t>
      </w:r>
    </w:p>
    <w:p w14:paraId="28CAE76D" w14:textId="600A04FF" w:rsidR="00BD3AB7" w:rsidRDefault="00BD3AB7" w:rsidP="00164C12">
      <w:pPr>
        <w:pStyle w:val="ReferenceOrdered"/>
      </w:pPr>
      <w:r w:rsidRPr="00164C12">
        <w:t>The NCCN Drugs &amp; Biologics Compendium</w:t>
      </w:r>
      <w:r w:rsidRPr="00C75704">
        <w:t>®</w:t>
      </w:r>
      <w:r w:rsidRPr="00164C12">
        <w:t xml:space="preserve"> © 202</w:t>
      </w:r>
      <w:r w:rsidR="008D3528">
        <w:t>4</w:t>
      </w:r>
      <w:r w:rsidRPr="00164C12">
        <w:t xml:space="preserve"> National Comprehensive Cancer Network, Inc. </w:t>
      </w:r>
      <w:hyperlink r:id="rId15" w:tgtFrame="_blank" w:history="1">
        <w:r w:rsidRPr="00C75704">
          <w:t>https://www.nccn.org</w:t>
        </w:r>
      </w:hyperlink>
      <w:r w:rsidRPr="00164C12">
        <w:t xml:space="preserve">. Accessed </w:t>
      </w:r>
      <w:r w:rsidR="007779DE">
        <w:t xml:space="preserve">December </w:t>
      </w:r>
      <w:r w:rsidR="00F44181">
        <w:t>16</w:t>
      </w:r>
      <w:r w:rsidRPr="00164C12">
        <w:t>, 202</w:t>
      </w:r>
      <w:r w:rsidR="008D3528">
        <w:t>4</w:t>
      </w:r>
      <w:r w:rsidRPr="00164C12">
        <w:t>.</w:t>
      </w:r>
    </w:p>
    <w:sectPr w:rsidR="00BD3AB7" w:rsidSect="00463D59">
      <w:headerReference w:type="first" r:id="rId16"/>
      <w:footerReference w:type="first" r:id="rId17"/>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18910" w14:textId="77777777" w:rsidR="00606296" w:rsidRDefault="00606296">
      <w:r>
        <w:separator/>
      </w:r>
    </w:p>
  </w:endnote>
  <w:endnote w:type="continuationSeparator" w:id="0">
    <w:p w14:paraId="26FB79FA" w14:textId="77777777" w:rsidR="00606296" w:rsidRDefault="00606296">
      <w:r>
        <w:continuationSeparator/>
      </w:r>
    </w:p>
  </w:endnote>
  <w:endnote w:type="continuationNotice" w:id="1">
    <w:p w14:paraId="7D8D47A7" w14:textId="77777777" w:rsidR="00606296" w:rsidRDefault="00606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06E337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53A52" w:rsidRPr="00153A52">
      <w:rPr>
        <w:rFonts w:cs="Arial"/>
        <w:noProof/>
        <w:sz w:val="16"/>
        <w:szCs w:val="16"/>
      </w:rPr>
      <w:t>Lynparza</w:t>
    </w:r>
    <w:r w:rsidR="00153A52">
      <w:rPr>
        <w:rFonts w:cs="Arial"/>
        <w:noProof/>
        <w:snapToGrid w:val="0"/>
        <w:color w:val="000000"/>
        <w:sz w:val="16"/>
        <w:szCs w:val="16"/>
      </w:rPr>
      <w:t xml:space="preserve"> SGM 1810-A</w:t>
    </w:r>
    <w:r w:rsidR="00153A52" w:rsidRPr="00153A52">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D371E3" w:rsidRPr="00EC47B6">
      <w:rPr>
        <w:rFonts w:cs="Arial"/>
        <w:snapToGrid w:val="0"/>
        <w:color w:val="000000"/>
        <w:sz w:val="16"/>
      </w:rPr>
      <w:t>202</w:t>
    </w:r>
    <w:r w:rsidR="00D371E3">
      <w:rPr>
        <w:rFonts w:cs="Arial"/>
        <w:snapToGrid w:val="0"/>
        <w:color w:val="000000"/>
        <w:sz w:val="16"/>
      </w:rPr>
      <w:t>5</w:t>
    </w:r>
    <w:r w:rsidR="00D371E3"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58A945F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B760002" w:rsidR="00F75C81" w:rsidRPr="00AA1E6A" w:rsidRDefault="00C36B72" w:rsidP="00C7570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A429B9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53A52" w:rsidRPr="00153A52">
      <w:rPr>
        <w:rFonts w:cs="Arial"/>
        <w:noProof/>
        <w:sz w:val="16"/>
        <w:szCs w:val="16"/>
      </w:rPr>
      <w:t>Lynparza SGM 1810-A P2025.docx</w:t>
    </w:r>
    <w:r w:rsidRPr="00EC47B6">
      <w:rPr>
        <w:rFonts w:cs="Arial"/>
        <w:noProof/>
        <w:sz w:val="16"/>
        <w:szCs w:val="16"/>
      </w:rPr>
      <w:fldChar w:fldCharType="end"/>
    </w:r>
    <w:r w:rsidRPr="00EC47B6">
      <w:rPr>
        <w:rFonts w:cs="Arial"/>
        <w:snapToGrid w:val="0"/>
        <w:color w:val="000000"/>
        <w:sz w:val="16"/>
      </w:rPr>
      <w:tab/>
      <w:t xml:space="preserve">© </w:t>
    </w:r>
    <w:r w:rsidR="00D371E3" w:rsidRPr="00EC47B6">
      <w:rPr>
        <w:rFonts w:cs="Arial"/>
        <w:snapToGrid w:val="0"/>
        <w:color w:val="000000"/>
        <w:sz w:val="16"/>
      </w:rPr>
      <w:t>202</w:t>
    </w:r>
    <w:r w:rsidR="00D371E3">
      <w:rPr>
        <w:rFonts w:cs="Arial"/>
        <w:snapToGrid w:val="0"/>
        <w:color w:val="000000"/>
        <w:sz w:val="16"/>
      </w:rPr>
      <w:t>5</w:t>
    </w:r>
    <w:r w:rsidR="00D371E3"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1067ACA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856C6CF" w:rsidR="00ED04EC" w:rsidRPr="00F50D98" w:rsidRDefault="00F50D98" w:rsidP="00C7570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841C8" w14:textId="77777777" w:rsidR="00606296" w:rsidRDefault="00606296">
      <w:r>
        <w:separator/>
      </w:r>
    </w:p>
  </w:footnote>
  <w:footnote w:type="continuationSeparator" w:id="0">
    <w:p w14:paraId="1BDC3728" w14:textId="77777777" w:rsidR="00606296" w:rsidRDefault="00606296">
      <w:r>
        <w:continuationSeparator/>
      </w:r>
    </w:p>
  </w:footnote>
  <w:footnote w:type="continuationNotice" w:id="1">
    <w:p w14:paraId="381E90DC" w14:textId="77777777" w:rsidR="00606296" w:rsidRDefault="006062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3799B" w:rsidRPr="00463D59" w14:paraId="478DE39C" w14:textId="77777777" w:rsidTr="009978D7">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3EB40A" w14:textId="77777777" w:rsidR="00C3799B" w:rsidRPr="00463D59" w:rsidRDefault="00C3799B" w:rsidP="00C3799B">
          <w:pPr>
            <w:pStyle w:val="Header"/>
            <w:rPr>
              <w:rFonts w:cs="Arial"/>
              <w:sz w:val="16"/>
              <w:szCs w:val="16"/>
            </w:rPr>
          </w:pPr>
          <w:r w:rsidRPr="00463D59">
            <w:rPr>
              <w:rFonts w:cs="Arial"/>
              <w:sz w:val="16"/>
              <w:szCs w:val="16"/>
            </w:rPr>
            <w:t>Reference number(s)</w:t>
          </w:r>
        </w:p>
      </w:tc>
    </w:tr>
    <w:tr w:rsidR="00C3799B" w:rsidRPr="00463D59" w14:paraId="2548303A" w14:textId="77777777" w:rsidTr="009978D7">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961BACE" w14:textId="77777777" w:rsidR="00C3799B" w:rsidRPr="00463D59" w:rsidRDefault="00C3799B" w:rsidP="00C3799B">
          <w:pPr>
            <w:pStyle w:val="Header"/>
            <w:rPr>
              <w:rFonts w:cs="Arial"/>
              <w:sz w:val="16"/>
              <w:szCs w:val="16"/>
            </w:rPr>
          </w:pPr>
          <w:r w:rsidRPr="00463D59">
            <w:rPr>
              <w:sz w:val="16"/>
              <w:szCs w:val="16"/>
              <w:shd w:val="clear" w:color="auto" w:fill="FFFFFF"/>
            </w:rPr>
            <w:t>1810-A</w:t>
          </w:r>
        </w:p>
      </w:tc>
    </w:tr>
  </w:tbl>
  <w:p w14:paraId="4D05AE5A" w14:textId="77777777" w:rsidR="00C3799B" w:rsidRDefault="00C379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0F5383">
          <w:pPr>
            <w:pStyle w:val="Header"/>
            <w:rPr>
              <w:rFonts w:cs="Arial"/>
              <w:sz w:val="16"/>
              <w:szCs w:val="16"/>
            </w:rPr>
          </w:pPr>
          <w:r w:rsidRPr="004159B2">
            <w:rPr>
              <w:rFonts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0F355393" w:rsidR="000F5383" w:rsidRPr="00AA1E6A" w:rsidRDefault="00D06903" w:rsidP="000F5383">
          <w:pPr>
            <w:pStyle w:val="Header"/>
            <w:rPr>
              <w:rFonts w:ascii="Arial" w:hAnsi="Arial" w:cs="Arial"/>
              <w:color w:val="FF0000"/>
              <w:sz w:val="16"/>
              <w:szCs w:val="16"/>
            </w:rPr>
          </w:pPr>
          <w:r>
            <w:rPr>
              <w:rFonts w:ascii="Aptos Narrow" w:hAnsi="Aptos Narrow"/>
              <w:color w:val="000000"/>
              <w:szCs w:val="22"/>
              <w:shd w:val="clear" w:color="auto" w:fill="FFFFFF"/>
            </w:rPr>
            <w:t>1810-A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17"/>
  </w:num>
  <w:num w:numId="3" w16cid:durableId="611589570">
    <w:abstractNumId w:val="1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4"/>
  </w:num>
  <w:num w:numId="17" w16cid:durableId="2128498676">
    <w:abstractNumId w:val="18"/>
  </w:num>
  <w:num w:numId="18" w16cid:durableId="299724409">
    <w:abstractNumId w:val="16"/>
  </w:num>
  <w:num w:numId="19" w16cid:durableId="214585573">
    <w:abstractNumId w:val="13"/>
  </w:num>
  <w:num w:numId="20" w16cid:durableId="1066490929">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4A0"/>
    <w:rsid w:val="000025F0"/>
    <w:rsid w:val="0000301E"/>
    <w:rsid w:val="00003A88"/>
    <w:rsid w:val="000040CA"/>
    <w:rsid w:val="00004110"/>
    <w:rsid w:val="00004F4E"/>
    <w:rsid w:val="00005C28"/>
    <w:rsid w:val="00005F2C"/>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3D1A"/>
    <w:rsid w:val="00064347"/>
    <w:rsid w:val="00064396"/>
    <w:rsid w:val="00064498"/>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2B9F"/>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6FDB"/>
    <w:rsid w:val="000B7167"/>
    <w:rsid w:val="000B71C5"/>
    <w:rsid w:val="000B7827"/>
    <w:rsid w:val="000B7CFC"/>
    <w:rsid w:val="000C00D6"/>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193"/>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2CF7"/>
    <w:rsid w:val="00153164"/>
    <w:rsid w:val="00153A52"/>
    <w:rsid w:val="00154B0F"/>
    <w:rsid w:val="00154E30"/>
    <w:rsid w:val="00155A51"/>
    <w:rsid w:val="00155B9E"/>
    <w:rsid w:val="001560C4"/>
    <w:rsid w:val="00156A50"/>
    <w:rsid w:val="00156B77"/>
    <w:rsid w:val="00156E31"/>
    <w:rsid w:val="00160472"/>
    <w:rsid w:val="00162951"/>
    <w:rsid w:val="001630B4"/>
    <w:rsid w:val="00164C12"/>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AA3"/>
    <w:rsid w:val="00181BB0"/>
    <w:rsid w:val="00182BBD"/>
    <w:rsid w:val="00182C96"/>
    <w:rsid w:val="001837BD"/>
    <w:rsid w:val="001853D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384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2AD"/>
    <w:rsid w:val="001F23D0"/>
    <w:rsid w:val="001F24E7"/>
    <w:rsid w:val="001F2760"/>
    <w:rsid w:val="001F2F24"/>
    <w:rsid w:val="001F4025"/>
    <w:rsid w:val="001F4BF6"/>
    <w:rsid w:val="001F55CC"/>
    <w:rsid w:val="001F6065"/>
    <w:rsid w:val="001F629F"/>
    <w:rsid w:val="001F6363"/>
    <w:rsid w:val="001F6373"/>
    <w:rsid w:val="001F6F6F"/>
    <w:rsid w:val="002017F4"/>
    <w:rsid w:val="00201963"/>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565"/>
    <w:rsid w:val="002338A0"/>
    <w:rsid w:val="00233FF2"/>
    <w:rsid w:val="002341EB"/>
    <w:rsid w:val="0023423A"/>
    <w:rsid w:val="002346E7"/>
    <w:rsid w:val="00235900"/>
    <w:rsid w:val="00235A26"/>
    <w:rsid w:val="00235ADF"/>
    <w:rsid w:val="00235FEF"/>
    <w:rsid w:val="00240136"/>
    <w:rsid w:val="00240736"/>
    <w:rsid w:val="00240C70"/>
    <w:rsid w:val="00241664"/>
    <w:rsid w:val="0024185D"/>
    <w:rsid w:val="002423DE"/>
    <w:rsid w:val="00242E29"/>
    <w:rsid w:val="00242F54"/>
    <w:rsid w:val="00243017"/>
    <w:rsid w:val="0024305D"/>
    <w:rsid w:val="00244442"/>
    <w:rsid w:val="0024498F"/>
    <w:rsid w:val="002504F9"/>
    <w:rsid w:val="00250C39"/>
    <w:rsid w:val="00250E25"/>
    <w:rsid w:val="00251EE2"/>
    <w:rsid w:val="00252830"/>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64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526"/>
    <w:rsid w:val="002815E2"/>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788"/>
    <w:rsid w:val="002B306F"/>
    <w:rsid w:val="002B3172"/>
    <w:rsid w:val="002B4271"/>
    <w:rsid w:val="002B63CB"/>
    <w:rsid w:val="002B6A94"/>
    <w:rsid w:val="002B6CCD"/>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434"/>
    <w:rsid w:val="002E5C63"/>
    <w:rsid w:val="002E5D34"/>
    <w:rsid w:val="002E65C9"/>
    <w:rsid w:val="002E6AE1"/>
    <w:rsid w:val="002E7264"/>
    <w:rsid w:val="002F1388"/>
    <w:rsid w:val="002F23BB"/>
    <w:rsid w:val="002F2FA8"/>
    <w:rsid w:val="002F311C"/>
    <w:rsid w:val="002F335A"/>
    <w:rsid w:val="002F5775"/>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9F2"/>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287F"/>
    <w:rsid w:val="003936BB"/>
    <w:rsid w:val="00393961"/>
    <w:rsid w:val="00394467"/>
    <w:rsid w:val="00395521"/>
    <w:rsid w:val="00395A71"/>
    <w:rsid w:val="00396A5B"/>
    <w:rsid w:val="00396D00"/>
    <w:rsid w:val="003A0693"/>
    <w:rsid w:val="003A2056"/>
    <w:rsid w:val="003A3F64"/>
    <w:rsid w:val="003A4B3A"/>
    <w:rsid w:val="003A5707"/>
    <w:rsid w:val="003A6459"/>
    <w:rsid w:val="003A7860"/>
    <w:rsid w:val="003A796A"/>
    <w:rsid w:val="003B009E"/>
    <w:rsid w:val="003B1472"/>
    <w:rsid w:val="003B1A5F"/>
    <w:rsid w:val="003B1D0F"/>
    <w:rsid w:val="003B282B"/>
    <w:rsid w:val="003B2B19"/>
    <w:rsid w:val="003B3DAE"/>
    <w:rsid w:val="003B4BC1"/>
    <w:rsid w:val="003B4FB6"/>
    <w:rsid w:val="003B5A8C"/>
    <w:rsid w:val="003B5C47"/>
    <w:rsid w:val="003B6158"/>
    <w:rsid w:val="003B7DE9"/>
    <w:rsid w:val="003C0BFA"/>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5DCA"/>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1F1"/>
    <w:rsid w:val="00401820"/>
    <w:rsid w:val="00402C8F"/>
    <w:rsid w:val="00402FED"/>
    <w:rsid w:val="00403087"/>
    <w:rsid w:val="004032A5"/>
    <w:rsid w:val="00403312"/>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15F0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4687"/>
    <w:rsid w:val="004357BB"/>
    <w:rsid w:val="00435A60"/>
    <w:rsid w:val="00437BFC"/>
    <w:rsid w:val="00437D53"/>
    <w:rsid w:val="004405EB"/>
    <w:rsid w:val="0044080D"/>
    <w:rsid w:val="00440CEF"/>
    <w:rsid w:val="0044127F"/>
    <w:rsid w:val="004414EF"/>
    <w:rsid w:val="00441BD2"/>
    <w:rsid w:val="004421AD"/>
    <w:rsid w:val="00442B17"/>
    <w:rsid w:val="0044300A"/>
    <w:rsid w:val="004438A7"/>
    <w:rsid w:val="00444336"/>
    <w:rsid w:val="00444A6A"/>
    <w:rsid w:val="0044563B"/>
    <w:rsid w:val="00445F97"/>
    <w:rsid w:val="0044646C"/>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595B"/>
    <w:rsid w:val="00456003"/>
    <w:rsid w:val="00456A47"/>
    <w:rsid w:val="0045790D"/>
    <w:rsid w:val="00457BC4"/>
    <w:rsid w:val="00460001"/>
    <w:rsid w:val="0046058E"/>
    <w:rsid w:val="00460F4A"/>
    <w:rsid w:val="00460F61"/>
    <w:rsid w:val="0046197A"/>
    <w:rsid w:val="00461A9E"/>
    <w:rsid w:val="00462FA2"/>
    <w:rsid w:val="00463D59"/>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9A8"/>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821"/>
    <w:rsid w:val="004A3A2D"/>
    <w:rsid w:val="004A3CCF"/>
    <w:rsid w:val="004A476E"/>
    <w:rsid w:val="004A5096"/>
    <w:rsid w:val="004A5DC0"/>
    <w:rsid w:val="004A603F"/>
    <w:rsid w:val="004A6336"/>
    <w:rsid w:val="004A64E5"/>
    <w:rsid w:val="004A6AB4"/>
    <w:rsid w:val="004A7239"/>
    <w:rsid w:val="004A75B0"/>
    <w:rsid w:val="004A78CD"/>
    <w:rsid w:val="004A7A22"/>
    <w:rsid w:val="004B0638"/>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D50"/>
    <w:rsid w:val="004E1EEE"/>
    <w:rsid w:val="004E20E1"/>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0C33"/>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62C"/>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95D"/>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76F92"/>
    <w:rsid w:val="00580455"/>
    <w:rsid w:val="005808CA"/>
    <w:rsid w:val="0058115C"/>
    <w:rsid w:val="0058173B"/>
    <w:rsid w:val="005820B6"/>
    <w:rsid w:val="00582153"/>
    <w:rsid w:val="005828B5"/>
    <w:rsid w:val="00582B42"/>
    <w:rsid w:val="00583227"/>
    <w:rsid w:val="00583527"/>
    <w:rsid w:val="005837FD"/>
    <w:rsid w:val="005843B5"/>
    <w:rsid w:val="00584C74"/>
    <w:rsid w:val="00585561"/>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2B4"/>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15B"/>
    <w:rsid w:val="005D3FE0"/>
    <w:rsid w:val="005D40CA"/>
    <w:rsid w:val="005D47B9"/>
    <w:rsid w:val="005D5FBB"/>
    <w:rsid w:val="005D7081"/>
    <w:rsid w:val="005D72EF"/>
    <w:rsid w:val="005D7947"/>
    <w:rsid w:val="005D7EA2"/>
    <w:rsid w:val="005E0BD2"/>
    <w:rsid w:val="005E1266"/>
    <w:rsid w:val="005E1B3B"/>
    <w:rsid w:val="005E3C25"/>
    <w:rsid w:val="005E4938"/>
    <w:rsid w:val="005E5674"/>
    <w:rsid w:val="005E5A43"/>
    <w:rsid w:val="005E5EF1"/>
    <w:rsid w:val="005E6A1A"/>
    <w:rsid w:val="005F0A5B"/>
    <w:rsid w:val="005F10FC"/>
    <w:rsid w:val="005F1A16"/>
    <w:rsid w:val="005F20AB"/>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296"/>
    <w:rsid w:val="00606DBB"/>
    <w:rsid w:val="006077A7"/>
    <w:rsid w:val="00607959"/>
    <w:rsid w:val="0060798E"/>
    <w:rsid w:val="006079D1"/>
    <w:rsid w:val="00610F93"/>
    <w:rsid w:val="00610FBE"/>
    <w:rsid w:val="00613278"/>
    <w:rsid w:val="006138E0"/>
    <w:rsid w:val="00613BFA"/>
    <w:rsid w:val="00614799"/>
    <w:rsid w:val="00615D0E"/>
    <w:rsid w:val="0061673E"/>
    <w:rsid w:val="00617744"/>
    <w:rsid w:val="00617950"/>
    <w:rsid w:val="00617BB8"/>
    <w:rsid w:val="0062059E"/>
    <w:rsid w:val="00621147"/>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0C8"/>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1D00"/>
    <w:rsid w:val="00642734"/>
    <w:rsid w:val="00642971"/>
    <w:rsid w:val="00642BEF"/>
    <w:rsid w:val="006434FA"/>
    <w:rsid w:val="00643E65"/>
    <w:rsid w:val="00643E90"/>
    <w:rsid w:val="006447C5"/>
    <w:rsid w:val="0064565D"/>
    <w:rsid w:val="00645B20"/>
    <w:rsid w:val="00645D4F"/>
    <w:rsid w:val="00647646"/>
    <w:rsid w:val="00647850"/>
    <w:rsid w:val="0065036F"/>
    <w:rsid w:val="00650ADD"/>
    <w:rsid w:val="00651CAA"/>
    <w:rsid w:val="00652357"/>
    <w:rsid w:val="006525A3"/>
    <w:rsid w:val="006525F5"/>
    <w:rsid w:val="00652D56"/>
    <w:rsid w:val="00653B49"/>
    <w:rsid w:val="006543B6"/>
    <w:rsid w:val="0065581E"/>
    <w:rsid w:val="00655AEE"/>
    <w:rsid w:val="00656C98"/>
    <w:rsid w:val="0065738F"/>
    <w:rsid w:val="006579C9"/>
    <w:rsid w:val="00657EB3"/>
    <w:rsid w:val="006601B8"/>
    <w:rsid w:val="00660683"/>
    <w:rsid w:val="00660EDA"/>
    <w:rsid w:val="00660FCF"/>
    <w:rsid w:val="00661618"/>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930"/>
    <w:rsid w:val="00683AAE"/>
    <w:rsid w:val="00683C7C"/>
    <w:rsid w:val="0068444E"/>
    <w:rsid w:val="00684881"/>
    <w:rsid w:val="00685107"/>
    <w:rsid w:val="00685164"/>
    <w:rsid w:val="006852BE"/>
    <w:rsid w:val="00685620"/>
    <w:rsid w:val="00685E5D"/>
    <w:rsid w:val="0068667E"/>
    <w:rsid w:val="00687C15"/>
    <w:rsid w:val="0069038A"/>
    <w:rsid w:val="006909A7"/>
    <w:rsid w:val="006913AD"/>
    <w:rsid w:val="006917AF"/>
    <w:rsid w:val="006919C1"/>
    <w:rsid w:val="0069283D"/>
    <w:rsid w:val="00692A50"/>
    <w:rsid w:val="00693B34"/>
    <w:rsid w:val="00693B80"/>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760"/>
    <w:rsid w:val="006D4AE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0FB"/>
    <w:rsid w:val="00727843"/>
    <w:rsid w:val="0073079A"/>
    <w:rsid w:val="00731E11"/>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46"/>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1B9B"/>
    <w:rsid w:val="00773060"/>
    <w:rsid w:val="00773513"/>
    <w:rsid w:val="0077365E"/>
    <w:rsid w:val="007741BD"/>
    <w:rsid w:val="0077473F"/>
    <w:rsid w:val="00775C9E"/>
    <w:rsid w:val="007775AA"/>
    <w:rsid w:val="00777708"/>
    <w:rsid w:val="007778B0"/>
    <w:rsid w:val="007779DE"/>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0C"/>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4478"/>
    <w:rsid w:val="007D5505"/>
    <w:rsid w:val="007D5B5D"/>
    <w:rsid w:val="007D68CB"/>
    <w:rsid w:val="007D7A1C"/>
    <w:rsid w:val="007D7D7B"/>
    <w:rsid w:val="007D7FE6"/>
    <w:rsid w:val="007E00AB"/>
    <w:rsid w:val="007E01A4"/>
    <w:rsid w:val="007E03EC"/>
    <w:rsid w:val="007E0581"/>
    <w:rsid w:val="007E0E3C"/>
    <w:rsid w:val="007E11D7"/>
    <w:rsid w:val="007E1334"/>
    <w:rsid w:val="007E1AA0"/>
    <w:rsid w:val="007E1E4C"/>
    <w:rsid w:val="007E2C35"/>
    <w:rsid w:val="007E4106"/>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04"/>
    <w:rsid w:val="008137C4"/>
    <w:rsid w:val="00813D9B"/>
    <w:rsid w:val="008140EC"/>
    <w:rsid w:val="00814A2D"/>
    <w:rsid w:val="00817095"/>
    <w:rsid w:val="008171AA"/>
    <w:rsid w:val="0082041F"/>
    <w:rsid w:val="00821A95"/>
    <w:rsid w:val="00821B46"/>
    <w:rsid w:val="00822077"/>
    <w:rsid w:val="00822A02"/>
    <w:rsid w:val="008231A9"/>
    <w:rsid w:val="0082357B"/>
    <w:rsid w:val="0082395F"/>
    <w:rsid w:val="00823B22"/>
    <w:rsid w:val="008254BC"/>
    <w:rsid w:val="00826FDC"/>
    <w:rsid w:val="008308BE"/>
    <w:rsid w:val="00830CE5"/>
    <w:rsid w:val="008313C2"/>
    <w:rsid w:val="00832520"/>
    <w:rsid w:val="00832C35"/>
    <w:rsid w:val="00832E80"/>
    <w:rsid w:val="00832EB5"/>
    <w:rsid w:val="00832F22"/>
    <w:rsid w:val="0083565A"/>
    <w:rsid w:val="00835A0B"/>
    <w:rsid w:val="008409AE"/>
    <w:rsid w:val="00840EA7"/>
    <w:rsid w:val="008428E1"/>
    <w:rsid w:val="00842F87"/>
    <w:rsid w:val="008432CC"/>
    <w:rsid w:val="00843CE4"/>
    <w:rsid w:val="0084425F"/>
    <w:rsid w:val="0084448D"/>
    <w:rsid w:val="008445A6"/>
    <w:rsid w:val="00844E79"/>
    <w:rsid w:val="008465D2"/>
    <w:rsid w:val="00846F64"/>
    <w:rsid w:val="00850792"/>
    <w:rsid w:val="0085298F"/>
    <w:rsid w:val="00852FA8"/>
    <w:rsid w:val="00853AF4"/>
    <w:rsid w:val="00853E9B"/>
    <w:rsid w:val="008541E9"/>
    <w:rsid w:val="00854230"/>
    <w:rsid w:val="00854C30"/>
    <w:rsid w:val="00854C99"/>
    <w:rsid w:val="008555AD"/>
    <w:rsid w:val="00855DEE"/>
    <w:rsid w:val="008571AA"/>
    <w:rsid w:val="00860962"/>
    <w:rsid w:val="00860CBD"/>
    <w:rsid w:val="00860E69"/>
    <w:rsid w:val="00861CA3"/>
    <w:rsid w:val="00861DD6"/>
    <w:rsid w:val="00861F40"/>
    <w:rsid w:val="0086203A"/>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900"/>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41"/>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528"/>
    <w:rsid w:val="008D3802"/>
    <w:rsid w:val="008D57F5"/>
    <w:rsid w:val="008D5871"/>
    <w:rsid w:val="008D5BCA"/>
    <w:rsid w:val="008D6160"/>
    <w:rsid w:val="008E07BA"/>
    <w:rsid w:val="008E0BDD"/>
    <w:rsid w:val="008E0F0D"/>
    <w:rsid w:val="008E1130"/>
    <w:rsid w:val="008E160B"/>
    <w:rsid w:val="008E170C"/>
    <w:rsid w:val="008E224E"/>
    <w:rsid w:val="008E24FB"/>
    <w:rsid w:val="008E3173"/>
    <w:rsid w:val="008E40F9"/>
    <w:rsid w:val="008E4479"/>
    <w:rsid w:val="008E4958"/>
    <w:rsid w:val="008E510A"/>
    <w:rsid w:val="008E6B75"/>
    <w:rsid w:val="008E6C61"/>
    <w:rsid w:val="008E6F70"/>
    <w:rsid w:val="008E7659"/>
    <w:rsid w:val="008E7F9D"/>
    <w:rsid w:val="008F05DE"/>
    <w:rsid w:val="008F09AE"/>
    <w:rsid w:val="008F0AC3"/>
    <w:rsid w:val="008F1DC5"/>
    <w:rsid w:val="008F1F8E"/>
    <w:rsid w:val="008F2299"/>
    <w:rsid w:val="008F2441"/>
    <w:rsid w:val="008F28C0"/>
    <w:rsid w:val="008F2AFB"/>
    <w:rsid w:val="008F2D09"/>
    <w:rsid w:val="008F4B96"/>
    <w:rsid w:val="008F53E8"/>
    <w:rsid w:val="008F58D0"/>
    <w:rsid w:val="008F5F59"/>
    <w:rsid w:val="008F62E6"/>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17EE9"/>
    <w:rsid w:val="0092167E"/>
    <w:rsid w:val="00921E32"/>
    <w:rsid w:val="00921E89"/>
    <w:rsid w:val="00922097"/>
    <w:rsid w:val="009220E9"/>
    <w:rsid w:val="009224E8"/>
    <w:rsid w:val="00922DD4"/>
    <w:rsid w:val="00923E67"/>
    <w:rsid w:val="00923E96"/>
    <w:rsid w:val="00924B04"/>
    <w:rsid w:val="009255FA"/>
    <w:rsid w:val="00925647"/>
    <w:rsid w:val="0092652E"/>
    <w:rsid w:val="00926589"/>
    <w:rsid w:val="0092691D"/>
    <w:rsid w:val="00927612"/>
    <w:rsid w:val="00927737"/>
    <w:rsid w:val="00927BC1"/>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5AD"/>
    <w:rsid w:val="00954B47"/>
    <w:rsid w:val="0095537A"/>
    <w:rsid w:val="009559E0"/>
    <w:rsid w:val="00955A80"/>
    <w:rsid w:val="00956257"/>
    <w:rsid w:val="00956B1E"/>
    <w:rsid w:val="00957439"/>
    <w:rsid w:val="009576D1"/>
    <w:rsid w:val="009578A4"/>
    <w:rsid w:val="0096131B"/>
    <w:rsid w:val="00961529"/>
    <w:rsid w:val="00961854"/>
    <w:rsid w:val="00962152"/>
    <w:rsid w:val="0096236E"/>
    <w:rsid w:val="009625E8"/>
    <w:rsid w:val="009626E3"/>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29D0"/>
    <w:rsid w:val="0099311D"/>
    <w:rsid w:val="00993552"/>
    <w:rsid w:val="00993CD7"/>
    <w:rsid w:val="00994865"/>
    <w:rsid w:val="009954A4"/>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094"/>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095"/>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6E2"/>
    <w:rsid w:val="00A548C6"/>
    <w:rsid w:val="00A54C2F"/>
    <w:rsid w:val="00A55507"/>
    <w:rsid w:val="00A57245"/>
    <w:rsid w:val="00A6026F"/>
    <w:rsid w:val="00A60656"/>
    <w:rsid w:val="00A614D8"/>
    <w:rsid w:val="00A61592"/>
    <w:rsid w:val="00A618ED"/>
    <w:rsid w:val="00A61B9A"/>
    <w:rsid w:val="00A61E26"/>
    <w:rsid w:val="00A61FC3"/>
    <w:rsid w:val="00A64EFA"/>
    <w:rsid w:val="00A655D6"/>
    <w:rsid w:val="00A656CE"/>
    <w:rsid w:val="00A661A9"/>
    <w:rsid w:val="00A66716"/>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6ECC"/>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5BF4"/>
    <w:rsid w:val="00A96256"/>
    <w:rsid w:val="00A96A09"/>
    <w:rsid w:val="00AA0497"/>
    <w:rsid w:val="00AA0955"/>
    <w:rsid w:val="00AA1E6A"/>
    <w:rsid w:val="00AA2744"/>
    <w:rsid w:val="00AA3F55"/>
    <w:rsid w:val="00AA46E5"/>
    <w:rsid w:val="00AA46E6"/>
    <w:rsid w:val="00AA4E3C"/>
    <w:rsid w:val="00AA5FEE"/>
    <w:rsid w:val="00AA6624"/>
    <w:rsid w:val="00AA67C7"/>
    <w:rsid w:val="00AA6E94"/>
    <w:rsid w:val="00AA7BC6"/>
    <w:rsid w:val="00AA7D6B"/>
    <w:rsid w:val="00AB03C3"/>
    <w:rsid w:val="00AB060C"/>
    <w:rsid w:val="00AB07BF"/>
    <w:rsid w:val="00AB09BC"/>
    <w:rsid w:val="00AB1987"/>
    <w:rsid w:val="00AB299D"/>
    <w:rsid w:val="00AB2BF1"/>
    <w:rsid w:val="00AB3600"/>
    <w:rsid w:val="00AB3949"/>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3935"/>
    <w:rsid w:val="00AD457D"/>
    <w:rsid w:val="00AD5212"/>
    <w:rsid w:val="00AD5878"/>
    <w:rsid w:val="00AD5E4E"/>
    <w:rsid w:val="00AD6657"/>
    <w:rsid w:val="00AD6ADD"/>
    <w:rsid w:val="00AD703C"/>
    <w:rsid w:val="00AE01EE"/>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E7AC1"/>
    <w:rsid w:val="00AE7F33"/>
    <w:rsid w:val="00AF0414"/>
    <w:rsid w:val="00AF0473"/>
    <w:rsid w:val="00AF0948"/>
    <w:rsid w:val="00AF0E8F"/>
    <w:rsid w:val="00AF15A0"/>
    <w:rsid w:val="00AF1B67"/>
    <w:rsid w:val="00AF2C40"/>
    <w:rsid w:val="00AF351C"/>
    <w:rsid w:val="00AF404D"/>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3DC4"/>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0CC3"/>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5FB2"/>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577"/>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240"/>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47"/>
    <w:rsid w:val="00BC6D95"/>
    <w:rsid w:val="00BC79A6"/>
    <w:rsid w:val="00BD07B4"/>
    <w:rsid w:val="00BD1CC1"/>
    <w:rsid w:val="00BD2A68"/>
    <w:rsid w:val="00BD2E54"/>
    <w:rsid w:val="00BD3AB7"/>
    <w:rsid w:val="00BD5061"/>
    <w:rsid w:val="00BD589A"/>
    <w:rsid w:val="00BD5D53"/>
    <w:rsid w:val="00BD672B"/>
    <w:rsid w:val="00BD6ED4"/>
    <w:rsid w:val="00BD736C"/>
    <w:rsid w:val="00BE0818"/>
    <w:rsid w:val="00BE0B4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A9D"/>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99B"/>
    <w:rsid w:val="00C4009F"/>
    <w:rsid w:val="00C404AF"/>
    <w:rsid w:val="00C40AD3"/>
    <w:rsid w:val="00C4102F"/>
    <w:rsid w:val="00C418ED"/>
    <w:rsid w:val="00C41AFE"/>
    <w:rsid w:val="00C41E20"/>
    <w:rsid w:val="00C43138"/>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0AF0"/>
    <w:rsid w:val="00C72424"/>
    <w:rsid w:val="00C73E8B"/>
    <w:rsid w:val="00C74F5C"/>
    <w:rsid w:val="00C75704"/>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97F09"/>
    <w:rsid w:val="00CA0DA0"/>
    <w:rsid w:val="00CA1531"/>
    <w:rsid w:val="00CA156C"/>
    <w:rsid w:val="00CA1C61"/>
    <w:rsid w:val="00CA1FC9"/>
    <w:rsid w:val="00CA2093"/>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7F0"/>
    <w:rsid w:val="00CC48BF"/>
    <w:rsid w:val="00CC5112"/>
    <w:rsid w:val="00CC5559"/>
    <w:rsid w:val="00CC5E15"/>
    <w:rsid w:val="00CC63BD"/>
    <w:rsid w:val="00CC6AA8"/>
    <w:rsid w:val="00CC76FA"/>
    <w:rsid w:val="00CD03D0"/>
    <w:rsid w:val="00CD04D5"/>
    <w:rsid w:val="00CD1B5B"/>
    <w:rsid w:val="00CD3C27"/>
    <w:rsid w:val="00CD4084"/>
    <w:rsid w:val="00CD59BF"/>
    <w:rsid w:val="00CD5A52"/>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1827"/>
    <w:rsid w:val="00CF2208"/>
    <w:rsid w:val="00CF2D11"/>
    <w:rsid w:val="00CF3649"/>
    <w:rsid w:val="00CF3A89"/>
    <w:rsid w:val="00CF3E65"/>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90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71E3"/>
    <w:rsid w:val="00D400AE"/>
    <w:rsid w:val="00D40197"/>
    <w:rsid w:val="00D40530"/>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2E8A"/>
    <w:rsid w:val="00D94985"/>
    <w:rsid w:val="00D956AE"/>
    <w:rsid w:val="00D95A0D"/>
    <w:rsid w:val="00D95E62"/>
    <w:rsid w:val="00D967CB"/>
    <w:rsid w:val="00D97119"/>
    <w:rsid w:val="00D974E4"/>
    <w:rsid w:val="00D97A46"/>
    <w:rsid w:val="00D97B49"/>
    <w:rsid w:val="00DA05D5"/>
    <w:rsid w:val="00DA0924"/>
    <w:rsid w:val="00DA28F5"/>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6EE6"/>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37C"/>
    <w:rsid w:val="00E26712"/>
    <w:rsid w:val="00E2682A"/>
    <w:rsid w:val="00E27447"/>
    <w:rsid w:val="00E3095F"/>
    <w:rsid w:val="00E30B43"/>
    <w:rsid w:val="00E31870"/>
    <w:rsid w:val="00E31E60"/>
    <w:rsid w:val="00E31E68"/>
    <w:rsid w:val="00E3244A"/>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827"/>
    <w:rsid w:val="00E52B34"/>
    <w:rsid w:val="00E54271"/>
    <w:rsid w:val="00E5515A"/>
    <w:rsid w:val="00E552B0"/>
    <w:rsid w:val="00E55D31"/>
    <w:rsid w:val="00E55E94"/>
    <w:rsid w:val="00E5648B"/>
    <w:rsid w:val="00E56F98"/>
    <w:rsid w:val="00E60126"/>
    <w:rsid w:val="00E61AD9"/>
    <w:rsid w:val="00E625E8"/>
    <w:rsid w:val="00E62DE9"/>
    <w:rsid w:val="00E630B7"/>
    <w:rsid w:val="00E634DA"/>
    <w:rsid w:val="00E649A3"/>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626"/>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A9D"/>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3E9B"/>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A1E"/>
    <w:rsid w:val="00EE0D34"/>
    <w:rsid w:val="00EE1515"/>
    <w:rsid w:val="00EE27CF"/>
    <w:rsid w:val="00EE2BF1"/>
    <w:rsid w:val="00EE34FA"/>
    <w:rsid w:val="00EE50CE"/>
    <w:rsid w:val="00EE5CD7"/>
    <w:rsid w:val="00EE6B14"/>
    <w:rsid w:val="00EE72A1"/>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427"/>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A5D"/>
    <w:rsid w:val="00F16EAA"/>
    <w:rsid w:val="00F1748F"/>
    <w:rsid w:val="00F17594"/>
    <w:rsid w:val="00F17E4B"/>
    <w:rsid w:val="00F2074F"/>
    <w:rsid w:val="00F21995"/>
    <w:rsid w:val="00F21B41"/>
    <w:rsid w:val="00F22A90"/>
    <w:rsid w:val="00F23678"/>
    <w:rsid w:val="00F23747"/>
    <w:rsid w:val="00F23E83"/>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35"/>
    <w:rsid w:val="00F36059"/>
    <w:rsid w:val="00F37823"/>
    <w:rsid w:val="00F3785E"/>
    <w:rsid w:val="00F3796F"/>
    <w:rsid w:val="00F37FBD"/>
    <w:rsid w:val="00F40B91"/>
    <w:rsid w:val="00F41186"/>
    <w:rsid w:val="00F42E4B"/>
    <w:rsid w:val="00F43BA8"/>
    <w:rsid w:val="00F44181"/>
    <w:rsid w:val="00F4512B"/>
    <w:rsid w:val="00F461CE"/>
    <w:rsid w:val="00F46256"/>
    <w:rsid w:val="00F46AB1"/>
    <w:rsid w:val="00F472D1"/>
    <w:rsid w:val="00F50C28"/>
    <w:rsid w:val="00F50D98"/>
    <w:rsid w:val="00F511B5"/>
    <w:rsid w:val="00F51A68"/>
    <w:rsid w:val="00F51ACB"/>
    <w:rsid w:val="00F5259A"/>
    <w:rsid w:val="00F528CB"/>
    <w:rsid w:val="00F52C49"/>
    <w:rsid w:val="00F53593"/>
    <w:rsid w:val="00F53994"/>
    <w:rsid w:val="00F53DD1"/>
    <w:rsid w:val="00F54325"/>
    <w:rsid w:val="00F547DD"/>
    <w:rsid w:val="00F55113"/>
    <w:rsid w:val="00F554E0"/>
    <w:rsid w:val="00F566B2"/>
    <w:rsid w:val="00F56998"/>
    <w:rsid w:val="00F56AA5"/>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A9A"/>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15D"/>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691"/>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01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DA6"/>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E0C"/>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uiPriority w:val="99"/>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5552">
      <w:bodyDiv w:val="1"/>
      <w:marLeft w:val="0"/>
      <w:marRight w:val="0"/>
      <w:marTop w:val="0"/>
      <w:marBottom w:val="0"/>
      <w:divBdr>
        <w:top w:val="none" w:sz="0" w:space="0" w:color="auto"/>
        <w:left w:val="none" w:sz="0" w:space="0" w:color="auto"/>
        <w:bottom w:val="none" w:sz="0" w:space="0" w:color="auto"/>
        <w:right w:val="none" w:sz="0" w:space="0" w:color="auto"/>
      </w:divBdr>
      <w:divsChild>
        <w:div w:id="1033268779">
          <w:marLeft w:val="0"/>
          <w:marRight w:val="0"/>
          <w:marTop w:val="0"/>
          <w:marBottom w:val="0"/>
          <w:divBdr>
            <w:top w:val="none" w:sz="0" w:space="0" w:color="auto"/>
            <w:left w:val="none" w:sz="0" w:space="0" w:color="auto"/>
            <w:bottom w:val="none" w:sz="0" w:space="0" w:color="auto"/>
            <w:right w:val="none" w:sz="0" w:space="0" w:color="auto"/>
          </w:divBdr>
        </w:div>
        <w:div w:id="2083333282">
          <w:marLeft w:val="0"/>
          <w:marRight w:val="0"/>
          <w:marTop w:val="0"/>
          <w:marBottom w:val="0"/>
          <w:divBdr>
            <w:top w:val="none" w:sz="0" w:space="0" w:color="auto"/>
            <w:left w:val="none" w:sz="0" w:space="0" w:color="auto"/>
            <w:bottom w:val="none" w:sz="0" w:space="0" w:color="auto"/>
            <w:right w:val="none" w:sz="0" w:space="0" w:color="auto"/>
          </w:divBdr>
        </w:div>
        <w:div w:id="2041127683">
          <w:marLeft w:val="0"/>
          <w:marRight w:val="0"/>
          <w:marTop w:val="0"/>
          <w:marBottom w:val="0"/>
          <w:divBdr>
            <w:top w:val="none" w:sz="0" w:space="0" w:color="auto"/>
            <w:left w:val="none" w:sz="0" w:space="0" w:color="auto"/>
            <w:bottom w:val="none" w:sz="0" w:space="0" w:color="auto"/>
            <w:right w:val="none" w:sz="0" w:space="0" w:color="auto"/>
          </w:divBdr>
        </w:div>
        <w:div w:id="1060517774">
          <w:marLeft w:val="0"/>
          <w:marRight w:val="0"/>
          <w:marTop w:val="0"/>
          <w:marBottom w:val="0"/>
          <w:divBdr>
            <w:top w:val="none" w:sz="0" w:space="0" w:color="auto"/>
            <w:left w:val="none" w:sz="0" w:space="0" w:color="auto"/>
            <w:bottom w:val="none" w:sz="0" w:space="0" w:color="auto"/>
            <w:right w:val="none" w:sz="0" w:space="0" w:color="auto"/>
          </w:divBdr>
        </w:div>
        <w:div w:id="1847093918">
          <w:marLeft w:val="0"/>
          <w:marRight w:val="0"/>
          <w:marTop w:val="0"/>
          <w:marBottom w:val="0"/>
          <w:divBdr>
            <w:top w:val="none" w:sz="0" w:space="0" w:color="auto"/>
            <w:left w:val="none" w:sz="0" w:space="0" w:color="auto"/>
            <w:bottom w:val="none" w:sz="0" w:space="0" w:color="auto"/>
            <w:right w:val="none" w:sz="0" w:space="0" w:color="auto"/>
          </w:divBdr>
        </w:div>
        <w:div w:id="1417634352">
          <w:marLeft w:val="0"/>
          <w:marRight w:val="0"/>
          <w:marTop w:val="0"/>
          <w:marBottom w:val="0"/>
          <w:divBdr>
            <w:top w:val="none" w:sz="0" w:space="0" w:color="auto"/>
            <w:left w:val="none" w:sz="0" w:space="0" w:color="auto"/>
            <w:bottom w:val="none" w:sz="0" w:space="0" w:color="auto"/>
            <w:right w:val="none" w:sz="0" w:space="0" w:color="auto"/>
          </w:divBdr>
        </w:div>
        <w:div w:id="1847162123">
          <w:marLeft w:val="0"/>
          <w:marRight w:val="0"/>
          <w:marTop w:val="0"/>
          <w:marBottom w:val="0"/>
          <w:divBdr>
            <w:top w:val="none" w:sz="0" w:space="0" w:color="auto"/>
            <w:left w:val="none" w:sz="0" w:space="0" w:color="auto"/>
            <w:bottom w:val="none" w:sz="0" w:space="0" w:color="auto"/>
            <w:right w:val="none" w:sz="0" w:space="0" w:color="auto"/>
          </w:divBdr>
        </w:div>
        <w:div w:id="2083602832">
          <w:marLeft w:val="0"/>
          <w:marRight w:val="0"/>
          <w:marTop w:val="0"/>
          <w:marBottom w:val="0"/>
          <w:divBdr>
            <w:top w:val="none" w:sz="0" w:space="0" w:color="auto"/>
            <w:left w:val="none" w:sz="0" w:space="0" w:color="auto"/>
            <w:bottom w:val="none" w:sz="0" w:space="0" w:color="auto"/>
            <w:right w:val="none" w:sz="0" w:space="0" w:color="auto"/>
          </w:divBdr>
        </w:div>
        <w:div w:id="1119839309">
          <w:marLeft w:val="0"/>
          <w:marRight w:val="0"/>
          <w:marTop w:val="0"/>
          <w:marBottom w:val="0"/>
          <w:divBdr>
            <w:top w:val="none" w:sz="0" w:space="0" w:color="auto"/>
            <w:left w:val="none" w:sz="0" w:space="0" w:color="auto"/>
            <w:bottom w:val="none" w:sz="0" w:space="0" w:color="auto"/>
            <w:right w:val="none" w:sz="0" w:space="0" w:color="auto"/>
          </w:divBdr>
        </w:div>
        <w:div w:id="453254053">
          <w:marLeft w:val="0"/>
          <w:marRight w:val="0"/>
          <w:marTop w:val="0"/>
          <w:marBottom w:val="0"/>
          <w:divBdr>
            <w:top w:val="none" w:sz="0" w:space="0" w:color="auto"/>
            <w:left w:val="none" w:sz="0" w:space="0" w:color="auto"/>
            <w:bottom w:val="none" w:sz="0" w:space="0" w:color="auto"/>
            <w:right w:val="none" w:sz="0" w:space="0" w:color="auto"/>
          </w:divBdr>
        </w:div>
        <w:div w:id="1930889638">
          <w:marLeft w:val="0"/>
          <w:marRight w:val="0"/>
          <w:marTop w:val="0"/>
          <w:marBottom w:val="0"/>
          <w:divBdr>
            <w:top w:val="none" w:sz="0" w:space="0" w:color="auto"/>
            <w:left w:val="none" w:sz="0" w:space="0" w:color="auto"/>
            <w:bottom w:val="none" w:sz="0" w:space="0" w:color="auto"/>
            <w:right w:val="none" w:sz="0" w:space="0" w:color="auto"/>
          </w:divBdr>
        </w:div>
        <w:div w:id="781071456">
          <w:marLeft w:val="0"/>
          <w:marRight w:val="0"/>
          <w:marTop w:val="0"/>
          <w:marBottom w:val="0"/>
          <w:divBdr>
            <w:top w:val="none" w:sz="0" w:space="0" w:color="auto"/>
            <w:left w:val="none" w:sz="0" w:space="0" w:color="auto"/>
            <w:bottom w:val="none" w:sz="0" w:space="0" w:color="auto"/>
            <w:right w:val="none" w:sz="0" w:space="0" w:color="auto"/>
          </w:divBdr>
        </w:div>
        <w:div w:id="1788038390">
          <w:marLeft w:val="0"/>
          <w:marRight w:val="0"/>
          <w:marTop w:val="0"/>
          <w:marBottom w:val="0"/>
          <w:divBdr>
            <w:top w:val="none" w:sz="0" w:space="0" w:color="auto"/>
            <w:left w:val="none" w:sz="0" w:space="0" w:color="auto"/>
            <w:bottom w:val="none" w:sz="0" w:space="0" w:color="auto"/>
            <w:right w:val="none" w:sz="0" w:space="0" w:color="auto"/>
          </w:divBdr>
        </w:div>
        <w:div w:id="164633127">
          <w:marLeft w:val="0"/>
          <w:marRight w:val="0"/>
          <w:marTop w:val="0"/>
          <w:marBottom w:val="0"/>
          <w:divBdr>
            <w:top w:val="none" w:sz="0" w:space="0" w:color="auto"/>
            <w:left w:val="none" w:sz="0" w:space="0" w:color="auto"/>
            <w:bottom w:val="none" w:sz="0" w:space="0" w:color="auto"/>
            <w:right w:val="none" w:sz="0" w:space="0" w:color="auto"/>
          </w:divBdr>
        </w:div>
        <w:div w:id="484516196">
          <w:marLeft w:val="0"/>
          <w:marRight w:val="0"/>
          <w:marTop w:val="0"/>
          <w:marBottom w:val="0"/>
          <w:divBdr>
            <w:top w:val="none" w:sz="0" w:space="0" w:color="auto"/>
            <w:left w:val="none" w:sz="0" w:space="0" w:color="auto"/>
            <w:bottom w:val="none" w:sz="0" w:space="0" w:color="auto"/>
            <w:right w:val="none" w:sz="0" w:space="0" w:color="auto"/>
          </w:divBdr>
        </w:div>
        <w:div w:id="228809509">
          <w:marLeft w:val="0"/>
          <w:marRight w:val="0"/>
          <w:marTop w:val="0"/>
          <w:marBottom w:val="0"/>
          <w:divBdr>
            <w:top w:val="none" w:sz="0" w:space="0" w:color="auto"/>
            <w:left w:val="none" w:sz="0" w:space="0" w:color="auto"/>
            <w:bottom w:val="none" w:sz="0" w:space="0" w:color="auto"/>
            <w:right w:val="none" w:sz="0" w:space="0" w:color="auto"/>
          </w:divBdr>
        </w:div>
        <w:div w:id="1307668102">
          <w:marLeft w:val="0"/>
          <w:marRight w:val="0"/>
          <w:marTop w:val="0"/>
          <w:marBottom w:val="0"/>
          <w:divBdr>
            <w:top w:val="none" w:sz="0" w:space="0" w:color="auto"/>
            <w:left w:val="none" w:sz="0" w:space="0" w:color="auto"/>
            <w:bottom w:val="none" w:sz="0" w:space="0" w:color="auto"/>
            <w:right w:val="none" w:sz="0" w:space="0" w:color="auto"/>
          </w:divBdr>
        </w:div>
        <w:div w:id="905141937">
          <w:marLeft w:val="0"/>
          <w:marRight w:val="0"/>
          <w:marTop w:val="0"/>
          <w:marBottom w:val="0"/>
          <w:divBdr>
            <w:top w:val="none" w:sz="0" w:space="0" w:color="auto"/>
            <w:left w:val="none" w:sz="0" w:space="0" w:color="auto"/>
            <w:bottom w:val="none" w:sz="0" w:space="0" w:color="auto"/>
            <w:right w:val="none" w:sz="0" w:space="0" w:color="auto"/>
          </w:divBdr>
        </w:div>
        <w:div w:id="1390154898">
          <w:marLeft w:val="0"/>
          <w:marRight w:val="0"/>
          <w:marTop w:val="0"/>
          <w:marBottom w:val="0"/>
          <w:divBdr>
            <w:top w:val="none" w:sz="0" w:space="0" w:color="auto"/>
            <w:left w:val="none" w:sz="0" w:space="0" w:color="auto"/>
            <w:bottom w:val="none" w:sz="0" w:space="0" w:color="auto"/>
            <w:right w:val="none" w:sz="0" w:space="0" w:color="auto"/>
          </w:divBdr>
        </w:div>
        <w:div w:id="1005670694">
          <w:marLeft w:val="0"/>
          <w:marRight w:val="0"/>
          <w:marTop w:val="0"/>
          <w:marBottom w:val="0"/>
          <w:divBdr>
            <w:top w:val="none" w:sz="0" w:space="0" w:color="auto"/>
            <w:left w:val="none" w:sz="0" w:space="0" w:color="auto"/>
            <w:bottom w:val="none" w:sz="0" w:space="0" w:color="auto"/>
            <w:right w:val="none" w:sz="0" w:space="0" w:color="auto"/>
          </w:divBdr>
        </w:div>
        <w:div w:id="1131939174">
          <w:marLeft w:val="0"/>
          <w:marRight w:val="0"/>
          <w:marTop w:val="0"/>
          <w:marBottom w:val="0"/>
          <w:divBdr>
            <w:top w:val="none" w:sz="0" w:space="0" w:color="auto"/>
            <w:left w:val="none" w:sz="0" w:space="0" w:color="auto"/>
            <w:bottom w:val="none" w:sz="0" w:space="0" w:color="auto"/>
            <w:right w:val="none" w:sz="0" w:space="0" w:color="auto"/>
          </w:divBdr>
        </w:div>
        <w:div w:id="136995296">
          <w:marLeft w:val="0"/>
          <w:marRight w:val="0"/>
          <w:marTop w:val="0"/>
          <w:marBottom w:val="0"/>
          <w:divBdr>
            <w:top w:val="none" w:sz="0" w:space="0" w:color="auto"/>
            <w:left w:val="none" w:sz="0" w:space="0" w:color="auto"/>
            <w:bottom w:val="none" w:sz="0" w:space="0" w:color="auto"/>
            <w:right w:val="none" w:sz="0" w:space="0" w:color="auto"/>
          </w:divBdr>
        </w:div>
        <w:div w:id="352921656">
          <w:marLeft w:val="0"/>
          <w:marRight w:val="0"/>
          <w:marTop w:val="0"/>
          <w:marBottom w:val="0"/>
          <w:divBdr>
            <w:top w:val="none" w:sz="0" w:space="0" w:color="auto"/>
            <w:left w:val="none" w:sz="0" w:space="0" w:color="auto"/>
            <w:bottom w:val="none" w:sz="0" w:space="0" w:color="auto"/>
            <w:right w:val="none" w:sz="0" w:space="0" w:color="auto"/>
          </w:divBdr>
        </w:div>
        <w:div w:id="19548460">
          <w:marLeft w:val="0"/>
          <w:marRight w:val="0"/>
          <w:marTop w:val="0"/>
          <w:marBottom w:val="0"/>
          <w:divBdr>
            <w:top w:val="none" w:sz="0" w:space="0" w:color="auto"/>
            <w:left w:val="none" w:sz="0" w:space="0" w:color="auto"/>
            <w:bottom w:val="none" w:sz="0" w:space="0" w:color="auto"/>
            <w:right w:val="none" w:sz="0" w:space="0" w:color="auto"/>
          </w:divBdr>
        </w:div>
        <w:div w:id="953177127">
          <w:marLeft w:val="0"/>
          <w:marRight w:val="0"/>
          <w:marTop w:val="0"/>
          <w:marBottom w:val="0"/>
          <w:divBdr>
            <w:top w:val="none" w:sz="0" w:space="0" w:color="auto"/>
            <w:left w:val="none" w:sz="0" w:space="0" w:color="auto"/>
            <w:bottom w:val="none" w:sz="0" w:space="0" w:color="auto"/>
            <w:right w:val="none" w:sz="0" w:space="0" w:color="auto"/>
          </w:divBdr>
        </w:div>
      </w:divsChild>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18541494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61963868">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998994027">
      <w:bodyDiv w:val="1"/>
      <w:marLeft w:val="0"/>
      <w:marRight w:val="0"/>
      <w:marTop w:val="0"/>
      <w:marBottom w:val="0"/>
      <w:divBdr>
        <w:top w:val="none" w:sz="0" w:space="0" w:color="auto"/>
        <w:left w:val="none" w:sz="0" w:space="0" w:color="auto"/>
        <w:bottom w:val="none" w:sz="0" w:space="0" w:color="auto"/>
        <w:right w:val="none" w:sz="0" w:space="0" w:color="auto"/>
      </w:divBdr>
      <w:divsChild>
        <w:div w:id="1746954280">
          <w:marLeft w:val="0"/>
          <w:marRight w:val="0"/>
          <w:marTop w:val="0"/>
          <w:marBottom w:val="0"/>
          <w:divBdr>
            <w:top w:val="none" w:sz="0" w:space="0" w:color="auto"/>
            <w:left w:val="none" w:sz="0" w:space="0" w:color="auto"/>
            <w:bottom w:val="none" w:sz="0" w:space="0" w:color="auto"/>
            <w:right w:val="none" w:sz="0" w:space="0" w:color="auto"/>
          </w:divBdr>
          <w:divsChild>
            <w:div w:id="75202521">
              <w:marLeft w:val="0"/>
              <w:marRight w:val="0"/>
              <w:marTop w:val="0"/>
              <w:marBottom w:val="0"/>
              <w:divBdr>
                <w:top w:val="none" w:sz="0" w:space="0" w:color="auto"/>
                <w:left w:val="none" w:sz="0" w:space="0" w:color="auto"/>
                <w:bottom w:val="none" w:sz="0" w:space="0" w:color="auto"/>
                <w:right w:val="none" w:sz="0" w:space="0" w:color="auto"/>
              </w:divBdr>
            </w:div>
            <w:div w:id="1510481651">
              <w:marLeft w:val="0"/>
              <w:marRight w:val="0"/>
              <w:marTop w:val="0"/>
              <w:marBottom w:val="0"/>
              <w:divBdr>
                <w:top w:val="none" w:sz="0" w:space="0" w:color="auto"/>
                <w:left w:val="none" w:sz="0" w:space="0" w:color="auto"/>
                <w:bottom w:val="none" w:sz="0" w:space="0" w:color="auto"/>
                <w:right w:val="none" w:sz="0" w:space="0" w:color="auto"/>
              </w:divBdr>
            </w:div>
            <w:div w:id="2104568324">
              <w:marLeft w:val="0"/>
              <w:marRight w:val="0"/>
              <w:marTop w:val="0"/>
              <w:marBottom w:val="0"/>
              <w:divBdr>
                <w:top w:val="none" w:sz="0" w:space="0" w:color="auto"/>
                <w:left w:val="none" w:sz="0" w:space="0" w:color="auto"/>
                <w:bottom w:val="none" w:sz="0" w:space="0" w:color="auto"/>
                <w:right w:val="none" w:sz="0" w:space="0" w:color="auto"/>
              </w:divBdr>
            </w:div>
            <w:div w:id="1649704041">
              <w:marLeft w:val="0"/>
              <w:marRight w:val="0"/>
              <w:marTop w:val="0"/>
              <w:marBottom w:val="0"/>
              <w:divBdr>
                <w:top w:val="none" w:sz="0" w:space="0" w:color="auto"/>
                <w:left w:val="none" w:sz="0" w:space="0" w:color="auto"/>
                <w:bottom w:val="none" w:sz="0" w:space="0" w:color="auto"/>
                <w:right w:val="none" w:sz="0" w:space="0" w:color="auto"/>
              </w:divBdr>
            </w:div>
            <w:div w:id="1734767362">
              <w:marLeft w:val="0"/>
              <w:marRight w:val="0"/>
              <w:marTop w:val="0"/>
              <w:marBottom w:val="0"/>
              <w:divBdr>
                <w:top w:val="none" w:sz="0" w:space="0" w:color="auto"/>
                <w:left w:val="none" w:sz="0" w:space="0" w:color="auto"/>
                <w:bottom w:val="none" w:sz="0" w:space="0" w:color="auto"/>
                <w:right w:val="none" w:sz="0" w:space="0" w:color="auto"/>
              </w:divBdr>
            </w:div>
            <w:div w:id="1209880414">
              <w:marLeft w:val="0"/>
              <w:marRight w:val="0"/>
              <w:marTop w:val="0"/>
              <w:marBottom w:val="0"/>
              <w:divBdr>
                <w:top w:val="none" w:sz="0" w:space="0" w:color="auto"/>
                <w:left w:val="none" w:sz="0" w:space="0" w:color="auto"/>
                <w:bottom w:val="none" w:sz="0" w:space="0" w:color="auto"/>
                <w:right w:val="none" w:sz="0" w:space="0" w:color="auto"/>
              </w:divBdr>
            </w:div>
            <w:div w:id="1925145049">
              <w:marLeft w:val="0"/>
              <w:marRight w:val="0"/>
              <w:marTop w:val="0"/>
              <w:marBottom w:val="0"/>
              <w:divBdr>
                <w:top w:val="none" w:sz="0" w:space="0" w:color="auto"/>
                <w:left w:val="none" w:sz="0" w:space="0" w:color="auto"/>
                <w:bottom w:val="none" w:sz="0" w:space="0" w:color="auto"/>
                <w:right w:val="none" w:sz="0" w:space="0" w:color="auto"/>
              </w:divBdr>
            </w:div>
            <w:div w:id="727413621">
              <w:marLeft w:val="0"/>
              <w:marRight w:val="0"/>
              <w:marTop w:val="0"/>
              <w:marBottom w:val="0"/>
              <w:divBdr>
                <w:top w:val="none" w:sz="0" w:space="0" w:color="auto"/>
                <w:left w:val="none" w:sz="0" w:space="0" w:color="auto"/>
                <w:bottom w:val="none" w:sz="0" w:space="0" w:color="auto"/>
                <w:right w:val="none" w:sz="0" w:space="0" w:color="auto"/>
              </w:divBdr>
            </w:div>
            <w:div w:id="2004114970">
              <w:marLeft w:val="0"/>
              <w:marRight w:val="0"/>
              <w:marTop w:val="0"/>
              <w:marBottom w:val="0"/>
              <w:divBdr>
                <w:top w:val="none" w:sz="0" w:space="0" w:color="auto"/>
                <w:left w:val="none" w:sz="0" w:space="0" w:color="auto"/>
                <w:bottom w:val="none" w:sz="0" w:space="0" w:color="auto"/>
                <w:right w:val="none" w:sz="0" w:space="0" w:color="auto"/>
              </w:divBdr>
            </w:div>
            <w:div w:id="241718472">
              <w:marLeft w:val="0"/>
              <w:marRight w:val="0"/>
              <w:marTop w:val="0"/>
              <w:marBottom w:val="0"/>
              <w:divBdr>
                <w:top w:val="none" w:sz="0" w:space="0" w:color="auto"/>
                <w:left w:val="none" w:sz="0" w:space="0" w:color="auto"/>
                <w:bottom w:val="none" w:sz="0" w:space="0" w:color="auto"/>
                <w:right w:val="none" w:sz="0" w:space="0" w:color="auto"/>
              </w:divBdr>
            </w:div>
            <w:div w:id="906188286">
              <w:marLeft w:val="0"/>
              <w:marRight w:val="0"/>
              <w:marTop w:val="0"/>
              <w:marBottom w:val="0"/>
              <w:divBdr>
                <w:top w:val="none" w:sz="0" w:space="0" w:color="auto"/>
                <w:left w:val="none" w:sz="0" w:space="0" w:color="auto"/>
                <w:bottom w:val="none" w:sz="0" w:space="0" w:color="auto"/>
                <w:right w:val="none" w:sz="0" w:space="0" w:color="auto"/>
              </w:divBdr>
            </w:div>
            <w:div w:id="2126267876">
              <w:marLeft w:val="0"/>
              <w:marRight w:val="0"/>
              <w:marTop w:val="0"/>
              <w:marBottom w:val="0"/>
              <w:divBdr>
                <w:top w:val="none" w:sz="0" w:space="0" w:color="auto"/>
                <w:left w:val="none" w:sz="0" w:space="0" w:color="auto"/>
                <w:bottom w:val="none" w:sz="0" w:space="0" w:color="auto"/>
                <w:right w:val="none" w:sz="0" w:space="0" w:color="auto"/>
              </w:divBdr>
            </w:div>
            <w:div w:id="1816676546">
              <w:marLeft w:val="0"/>
              <w:marRight w:val="0"/>
              <w:marTop w:val="0"/>
              <w:marBottom w:val="0"/>
              <w:divBdr>
                <w:top w:val="none" w:sz="0" w:space="0" w:color="auto"/>
                <w:left w:val="none" w:sz="0" w:space="0" w:color="auto"/>
                <w:bottom w:val="none" w:sz="0" w:space="0" w:color="auto"/>
                <w:right w:val="none" w:sz="0" w:space="0" w:color="auto"/>
              </w:divBdr>
            </w:div>
            <w:div w:id="749234716">
              <w:marLeft w:val="0"/>
              <w:marRight w:val="0"/>
              <w:marTop w:val="0"/>
              <w:marBottom w:val="0"/>
              <w:divBdr>
                <w:top w:val="none" w:sz="0" w:space="0" w:color="auto"/>
                <w:left w:val="none" w:sz="0" w:space="0" w:color="auto"/>
                <w:bottom w:val="none" w:sz="0" w:space="0" w:color="auto"/>
                <w:right w:val="none" w:sz="0" w:space="0" w:color="auto"/>
              </w:divBdr>
            </w:div>
            <w:div w:id="1282960895">
              <w:marLeft w:val="0"/>
              <w:marRight w:val="0"/>
              <w:marTop w:val="0"/>
              <w:marBottom w:val="0"/>
              <w:divBdr>
                <w:top w:val="none" w:sz="0" w:space="0" w:color="auto"/>
                <w:left w:val="none" w:sz="0" w:space="0" w:color="auto"/>
                <w:bottom w:val="none" w:sz="0" w:space="0" w:color="auto"/>
                <w:right w:val="none" w:sz="0" w:space="0" w:color="auto"/>
              </w:divBdr>
            </w:div>
            <w:div w:id="219947710">
              <w:marLeft w:val="0"/>
              <w:marRight w:val="0"/>
              <w:marTop w:val="0"/>
              <w:marBottom w:val="0"/>
              <w:divBdr>
                <w:top w:val="none" w:sz="0" w:space="0" w:color="auto"/>
                <w:left w:val="none" w:sz="0" w:space="0" w:color="auto"/>
                <w:bottom w:val="none" w:sz="0" w:space="0" w:color="auto"/>
                <w:right w:val="none" w:sz="0" w:space="0" w:color="auto"/>
              </w:divBdr>
            </w:div>
            <w:div w:id="1689674225">
              <w:marLeft w:val="0"/>
              <w:marRight w:val="0"/>
              <w:marTop w:val="0"/>
              <w:marBottom w:val="0"/>
              <w:divBdr>
                <w:top w:val="none" w:sz="0" w:space="0" w:color="auto"/>
                <w:left w:val="none" w:sz="0" w:space="0" w:color="auto"/>
                <w:bottom w:val="none" w:sz="0" w:space="0" w:color="auto"/>
                <w:right w:val="none" w:sz="0" w:space="0" w:color="auto"/>
              </w:divBdr>
            </w:div>
            <w:div w:id="185411140">
              <w:marLeft w:val="0"/>
              <w:marRight w:val="0"/>
              <w:marTop w:val="0"/>
              <w:marBottom w:val="0"/>
              <w:divBdr>
                <w:top w:val="none" w:sz="0" w:space="0" w:color="auto"/>
                <w:left w:val="none" w:sz="0" w:space="0" w:color="auto"/>
                <w:bottom w:val="none" w:sz="0" w:space="0" w:color="auto"/>
                <w:right w:val="none" w:sz="0" w:space="0" w:color="auto"/>
              </w:divBdr>
            </w:div>
            <w:div w:id="2033648172">
              <w:marLeft w:val="0"/>
              <w:marRight w:val="0"/>
              <w:marTop w:val="0"/>
              <w:marBottom w:val="0"/>
              <w:divBdr>
                <w:top w:val="none" w:sz="0" w:space="0" w:color="auto"/>
                <w:left w:val="none" w:sz="0" w:space="0" w:color="auto"/>
                <w:bottom w:val="none" w:sz="0" w:space="0" w:color="auto"/>
                <w:right w:val="none" w:sz="0" w:space="0" w:color="auto"/>
              </w:divBdr>
            </w:div>
          </w:divsChild>
        </w:div>
        <w:div w:id="1672413909">
          <w:marLeft w:val="0"/>
          <w:marRight w:val="0"/>
          <w:marTop w:val="0"/>
          <w:marBottom w:val="0"/>
          <w:divBdr>
            <w:top w:val="none" w:sz="0" w:space="0" w:color="auto"/>
            <w:left w:val="none" w:sz="0" w:space="0" w:color="auto"/>
            <w:bottom w:val="none" w:sz="0" w:space="0" w:color="auto"/>
            <w:right w:val="none" w:sz="0" w:space="0" w:color="auto"/>
          </w:divBdr>
          <w:divsChild>
            <w:div w:id="1864203807">
              <w:marLeft w:val="0"/>
              <w:marRight w:val="0"/>
              <w:marTop w:val="0"/>
              <w:marBottom w:val="0"/>
              <w:divBdr>
                <w:top w:val="none" w:sz="0" w:space="0" w:color="auto"/>
                <w:left w:val="none" w:sz="0" w:space="0" w:color="auto"/>
                <w:bottom w:val="none" w:sz="0" w:space="0" w:color="auto"/>
                <w:right w:val="none" w:sz="0" w:space="0" w:color="auto"/>
              </w:divBdr>
            </w:div>
            <w:div w:id="1673338901">
              <w:marLeft w:val="0"/>
              <w:marRight w:val="0"/>
              <w:marTop w:val="0"/>
              <w:marBottom w:val="0"/>
              <w:divBdr>
                <w:top w:val="none" w:sz="0" w:space="0" w:color="auto"/>
                <w:left w:val="none" w:sz="0" w:space="0" w:color="auto"/>
                <w:bottom w:val="none" w:sz="0" w:space="0" w:color="auto"/>
                <w:right w:val="none" w:sz="0" w:space="0" w:color="auto"/>
              </w:divBdr>
            </w:div>
            <w:div w:id="2061056472">
              <w:marLeft w:val="0"/>
              <w:marRight w:val="0"/>
              <w:marTop w:val="0"/>
              <w:marBottom w:val="0"/>
              <w:divBdr>
                <w:top w:val="none" w:sz="0" w:space="0" w:color="auto"/>
                <w:left w:val="none" w:sz="0" w:space="0" w:color="auto"/>
                <w:bottom w:val="none" w:sz="0" w:space="0" w:color="auto"/>
                <w:right w:val="none" w:sz="0" w:space="0" w:color="auto"/>
              </w:divBdr>
            </w:div>
            <w:div w:id="565460774">
              <w:marLeft w:val="0"/>
              <w:marRight w:val="0"/>
              <w:marTop w:val="0"/>
              <w:marBottom w:val="0"/>
              <w:divBdr>
                <w:top w:val="none" w:sz="0" w:space="0" w:color="auto"/>
                <w:left w:val="none" w:sz="0" w:space="0" w:color="auto"/>
                <w:bottom w:val="none" w:sz="0" w:space="0" w:color="auto"/>
                <w:right w:val="none" w:sz="0" w:space="0" w:color="auto"/>
              </w:divBdr>
            </w:div>
            <w:div w:id="2118791140">
              <w:marLeft w:val="0"/>
              <w:marRight w:val="0"/>
              <w:marTop w:val="0"/>
              <w:marBottom w:val="0"/>
              <w:divBdr>
                <w:top w:val="none" w:sz="0" w:space="0" w:color="auto"/>
                <w:left w:val="none" w:sz="0" w:space="0" w:color="auto"/>
                <w:bottom w:val="none" w:sz="0" w:space="0" w:color="auto"/>
                <w:right w:val="none" w:sz="0" w:space="0" w:color="auto"/>
              </w:divBdr>
            </w:div>
            <w:div w:id="82652044">
              <w:marLeft w:val="0"/>
              <w:marRight w:val="0"/>
              <w:marTop w:val="0"/>
              <w:marBottom w:val="0"/>
              <w:divBdr>
                <w:top w:val="none" w:sz="0" w:space="0" w:color="auto"/>
                <w:left w:val="none" w:sz="0" w:space="0" w:color="auto"/>
                <w:bottom w:val="none" w:sz="0" w:space="0" w:color="auto"/>
                <w:right w:val="none" w:sz="0" w:space="0" w:color="auto"/>
              </w:divBdr>
            </w:div>
            <w:div w:id="1766144227">
              <w:marLeft w:val="0"/>
              <w:marRight w:val="0"/>
              <w:marTop w:val="0"/>
              <w:marBottom w:val="0"/>
              <w:divBdr>
                <w:top w:val="none" w:sz="0" w:space="0" w:color="auto"/>
                <w:left w:val="none" w:sz="0" w:space="0" w:color="auto"/>
                <w:bottom w:val="none" w:sz="0" w:space="0" w:color="auto"/>
                <w:right w:val="none" w:sz="0" w:space="0" w:color="auto"/>
              </w:divBdr>
            </w:div>
            <w:div w:id="1143499043">
              <w:marLeft w:val="0"/>
              <w:marRight w:val="0"/>
              <w:marTop w:val="0"/>
              <w:marBottom w:val="0"/>
              <w:divBdr>
                <w:top w:val="none" w:sz="0" w:space="0" w:color="auto"/>
                <w:left w:val="none" w:sz="0" w:space="0" w:color="auto"/>
                <w:bottom w:val="none" w:sz="0" w:space="0" w:color="auto"/>
                <w:right w:val="none" w:sz="0" w:space="0" w:color="auto"/>
              </w:divBdr>
            </w:div>
            <w:div w:id="615604918">
              <w:marLeft w:val="0"/>
              <w:marRight w:val="0"/>
              <w:marTop w:val="0"/>
              <w:marBottom w:val="0"/>
              <w:divBdr>
                <w:top w:val="none" w:sz="0" w:space="0" w:color="auto"/>
                <w:left w:val="none" w:sz="0" w:space="0" w:color="auto"/>
                <w:bottom w:val="none" w:sz="0" w:space="0" w:color="auto"/>
                <w:right w:val="none" w:sz="0" w:space="0" w:color="auto"/>
              </w:divBdr>
            </w:div>
            <w:div w:id="266162121">
              <w:marLeft w:val="0"/>
              <w:marRight w:val="0"/>
              <w:marTop w:val="0"/>
              <w:marBottom w:val="0"/>
              <w:divBdr>
                <w:top w:val="none" w:sz="0" w:space="0" w:color="auto"/>
                <w:left w:val="none" w:sz="0" w:space="0" w:color="auto"/>
                <w:bottom w:val="none" w:sz="0" w:space="0" w:color="auto"/>
                <w:right w:val="none" w:sz="0" w:space="0" w:color="auto"/>
              </w:divBdr>
            </w:div>
            <w:div w:id="1410736001">
              <w:marLeft w:val="0"/>
              <w:marRight w:val="0"/>
              <w:marTop w:val="0"/>
              <w:marBottom w:val="0"/>
              <w:divBdr>
                <w:top w:val="none" w:sz="0" w:space="0" w:color="auto"/>
                <w:left w:val="none" w:sz="0" w:space="0" w:color="auto"/>
                <w:bottom w:val="none" w:sz="0" w:space="0" w:color="auto"/>
                <w:right w:val="none" w:sz="0" w:space="0" w:color="auto"/>
              </w:divBdr>
            </w:div>
            <w:div w:id="89766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236491">
      <w:bodyDiv w:val="1"/>
      <w:marLeft w:val="0"/>
      <w:marRight w:val="0"/>
      <w:marTop w:val="0"/>
      <w:marBottom w:val="0"/>
      <w:divBdr>
        <w:top w:val="none" w:sz="0" w:space="0" w:color="auto"/>
        <w:left w:val="none" w:sz="0" w:space="0" w:color="auto"/>
        <w:bottom w:val="none" w:sz="0" w:space="0" w:color="auto"/>
        <w:right w:val="none" w:sz="0" w:space="0" w:color="auto"/>
      </w:divBdr>
      <w:divsChild>
        <w:div w:id="516047208">
          <w:marLeft w:val="0"/>
          <w:marRight w:val="0"/>
          <w:marTop w:val="0"/>
          <w:marBottom w:val="0"/>
          <w:divBdr>
            <w:top w:val="none" w:sz="0" w:space="0" w:color="auto"/>
            <w:left w:val="none" w:sz="0" w:space="0" w:color="auto"/>
            <w:bottom w:val="none" w:sz="0" w:space="0" w:color="auto"/>
            <w:right w:val="none" w:sz="0" w:space="0" w:color="auto"/>
          </w:divBdr>
          <w:divsChild>
            <w:div w:id="1340742973">
              <w:marLeft w:val="0"/>
              <w:marRight w:val="0"/>
              <w:marTop w:val="0"/>
              <w:marBottom w:val="0"/>
              <w:divBdr>
                <w:top w:val="none" w:sz="0" w:space="0" w:color="auto"/>
                <w:left w:val="none" w:sz="0" w:space="0" w:color="auto"/>
                <w:bottom w:val="none" w:sz="0" w:space="0" w:color="auto"/>
                <w:right w:val="none" w:sz="0" w:space="0" w:color="auto"/>
              </w:divBdr>
            </w:div>
            <w:div w:id="15356551">
              <w:marLeft w:val="0"/>
              <w:marRight w:val="0"/>
              <w:marTop w:val="0"/>
              <w:marBottom w:val="0"/>
              <w:divBdr>
                <w:top w:val="none" w:sz="0" w:space="0" w:color="auto"/>
                <w:left w:val="none" w:sz="0" w:space="0" w:color="auto"/>
                <w:bottom w:val="none" w:sz="0" w:space="0" w:color="auto"/>
                <w:right w:val="none" w:sz="0" w:space="0" w:color="auto"/>
              </w:divBdr>
            </w:div>
          </w:divsChild>
        </w:div>
        <w:div w:id="1308628154">
          <w:marLeft w:val="0"/>
          <w:marRight w:val="0"/>
          <w:marTop w:val="0"/>
          <w:marBottom w:val="0"/>
          <w:divBdr>
            <w:top w:val="none" w:sz="0" w:space="0" w:color="auto"/>
            <w:left w:val="none" w:sz="0" w:space="0" w:color="auto"/>
            <w:bottom w:val="none" w:sz="0" w:space="0" w:color="auto"/>
            <w:right w:val="none" w:sz="0" w:space="0" w:color="auto"/>
          </w:divBdr>
          <w:divsChild>
            <w:div w:id="516501778">
              <w:marLeft w:val="0"/>
              <w:marRight w:val="0"/>
              <w:marTop w:val="0"/>
              <w:marBottom w:val="0"/>
              <w:divBdr>
                <w:top w:val="none" w:sz="0" w:space="0" w:color="auto"/>
                <w:left w:val="none" w:sz="0" w:space="0" w:color="auto"/>
                <w:bottom w:val="none" w:sz="0" w:space="0" w:color="auto"/>
                <w:right w:val="none" w:sz="0" w:space="0" w:color="auto"/>
              </w:divBdr>
            </w:div>
            <w:div w:id="2087459358">
              <w:marLeft w:val="0"/>
              <w:marRight w:val="0"/>
              <w:marTop w:val="0"/>
              <w:marBottom w:val="0"/>
              <w:divBdr>
                <w:top w:val="none" w:sz="0" w:space="0" w:color="auto"/>
                <w:left w:val="none" w:sz="0" w:space="0" w:color="auto"/>
                <w:bottom w:val="none" w:sz="0" w:space="0" w:color="auto"/>
                <w:right w:val="none" w:sz="0" w:space="0" w:color="auto"/>
              </w:divBdr>
            </w:div>
            <w:div w:id="1226528615">
              <w:marLeft w:val="0"/>
              <w:marRight w:val="0"/>
              <w:marTop w:val="0"/>
              <w:marBottom w:val="0"/>
              <w:divBdr>
                <w:top w:val="none" w:sz="0" w:space="0" w:color="auto"/>
                <w:left w:val="none" w:sz="0" w:space="0" w:color="auto"/>
                <w:bottom w:val="none" w:sz="0" w:space="0" w:color="auto"/>
                <w:right w:val="none" w:sz="0" w:space="0" w:color="auto"/>
              </w:divBdr>
            </w:div>
            <w:div w:id="1464151013">
              <w:marLeft w:val="0"/>
              <w:marRight w:val="0"/>
              <w:marTop w:val="0"/>
              <w:marBottom w:val="0"/>
              <w:divBdr>
                <w:top w:val="none" w:sz="0" w:space="0" w:color="auto"/>
                <w:left w:val="none" w:sz="0" w:space="0" w:color="auto"/>
                <w:bottom w:val="none" w:sz="0" w:space="0" w:color="auto"/>
                <w:right w:val="none" w:sz="0" w:space="0" w:color="auto"/>
              </w:divBdr>
            </w:div>
            <w:div w:id="357125561">
              <w:marLeft w:val="0"/>
              <w:marRight w:val="0"/>
              <w:marTop w:val="0"/>
              <w:marBottom w:val="0"/>
              <w:divBdr>
                <w:top w:val="none" w:sz="0" w:space="0" w:color="auto"/>
                <w:left w:val="none" w:sz="0" w:space="0" w:color="auto"/>
                <w:bottom w:val="none" w:sz="0" w:space="0" w:color="auto"/>
                <w:right w:val="none" w:sz="0" w:space="0" w:color="auto"/>
              </w:divBdr>
            </w:div>
            <w:div w:id="1870726987">
              <w:marLeft w:val="0"/>
              <w:marRight w:val="0"/>
              <w:marTop w:val="0"/>
              <w:marBottom w:val="0"/>
              <w:divBdr>
                <w:top w:val="none" w:sz="0" w:space="0" w:color="auto"/>
                <w:left w:val="none" w:sz="0" w:space="0" w:color="auto"/>
                <w:bottom w:val="none" w:sz="0" w:space="0" w:color="auto"/>
                <w:right w:val="none" w:sz="0" w:space="0" w:color="auto"/>
              </w:divBdr>
            </w:div>
            <w:div w:id="1409961649">
              <w:marLeft w:val="0"/>
              <w:marRight w:val="0"/>
              <w:marTop w:val="0"/>
              <w:marBottom w:val="0"/>
              <w:divBdr>
                <w:top w:val="none" w:sz="0" w:space="0" w:color="auto"/>
                <w:left w:val="none" w:sz="0" w:space="0" w:color="auto"/>
                <w:bottom w:val="none" w:sz="0" w:space="0" w:color="auto"/>
                <w:right w:val="none" w:sz="0" w:space="0" w:color="auto"/>
              </w:divBdr>
            </w:div>
            <w:div w:id="2125032234">
              <w:marLeft w:val="0"/>
              <w:marRight w:val="0"/>
              <w:marTop w:val="0"/>
              <w:marBottom w:val="0"/>
              <w:divBdr>
                <w:top w:val="none" w:sz="0" w:space="0" w:color="auto"/>
                <w:left w:val="none" w:sz="0" w:space="0" w:color="auto"/>
                <w:bottom w:val="none" w:sz="0" w:space="0" w:color="auto"/>
                <w:right w:val="none" w:sz="0" w:space="0" w:color="auto"/>
              </w:divBdr>
            </w:div>
            <w:div w:id="152555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70434352">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nccn.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8220C0-7A50-4688-AFD5-CEE95F5CFAB2}"/>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1453</Words>
  <Characters>8996</Characters>
  <Application>Microsoft Office Word</Application>
  <DocSecurity>0</DocSecurity>
  <Lines>183</Lines>
  <Paragraphs>122</Paragraphs>
  <ScaleCrop>false</ScaleCrop>
  <HeadingPairs>
    <vt:vector size="2" baseType="variant">
      <vt:variant>
        <vt:lpstr>Title</vt:lpstr>
      </vt:variant>
      <vt:variant>
        <vt:i4>1</vt:i4>
      </vt:variant>
    </vt:vector>
  </HeadingPairs>
  <TitlesOfParts>
    <vt:vector size="1" baseType="lpstr">
      <vt:lpstr>Specialty Guideline Management   Lynparza (Olaparib)</vt:lpstr>
    </vt:vector>
  </TitlesOfParts>
  <Manager/>
  <Company>CVS Health</Company>
  <LinksUpToDate>false</LinksUpToDate>
  <CharactersWithSpaces>10327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Lynparza SGM 1810-A</dc:title>
  <dc:subject/>
  <dc:creator>CVS Caremark</dc:creator>
  <cp:keywords/>
  <dc:description/>
  <cp:lastModifiedBy>Huerta, Linda M</cp:lastModifiedBy>
  <cp:revision>4</cp:revision>
  <cp:lastPrinted>2018-01-09T05:01:00Z</cp:lastPrinted>
  <dcterms:created xsi:type="dcterms:W3CDTF">2025-05-06T17:24:00Z</dcterms:created>
  <dcterms:modified xsi:type="dcterms:W3CDTF">2025-05-06T17:25:00Z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117900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